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D10" w:rsidRDefault="00970D10" w:rsidP="00372E46">
      <w:pPr>
        <w:ind w:left="600"/>
        <w:rPr>
          <w:color w:val="000000"/>
          <w:sz w:val="30"/>
          <w:szCs w:val="30"/>
          <w:shd w:val="clear" w:color="auto" w:fill="FFFFFF"/>
        </w:rPr>
      </w:pPr>
      <w:r>
        <w:rPr>
          <w:rFonts w:ascii="华文细黑" w:hAnsi="华文细黑" w:hint="eastAsia"/>
          <w:b/>
          <w:sz w:val="32"/>
          <w:szCs w:val="32"/>
        </w:rPr>
        <w:t>《临夏市排水（雨水）防涝专项规划</w:t>
      </w:r>
      <w:r>
        <w:rPr>
          <w:rFonts w:ascii="华文细黑" w:hAnsi="华文细黑"/>
          <w:b/>
          <w:sz w:val="32"/>
          <w:szCs w:val="32"/>
        </w:rPr>
        <w:t>(2018-2030</w:t>
      </w:r>
      <w:r>
        <w:rPr>
          <w:rFonts w:ascii="华文细黑" w:hAnsi="华文细黑" w:hint="eastAsia"/>
          <w:b/>
          <w:sz w:val="32"/>
          <w:szCs w:val="32"/>
        </w:rPr>
        <w:t>》</w:t>
      </w:r>
    </w:p>
    <w:p w:rsidR="00970D10" w:rsidRDefault="00970D10" w:rsidP="00372E46">
      <w:pPr>
        <w:spacing w:beforeLines="50" w:afterLines="50"/>
        <w:outlineLvl w:val="1"/>
        <w:rPr>
          <w:rFonts w:ascii="黑体" w:eastAsia="黑体" w:hAnsi="黑体"/>
          <w:b/>
          <w:sz w:val="30"/>
          <w:szCs w:val="30"/>
        </w:rPr>
      </w:pPr>
      <w:bookmarkStart w:id="0" w:name="_Toc523822372"/>
    </w:p>
    <w:p w:rsidR="00970D10" w:rsidRDefault="00970D10" w:rsidP="00372E46">
      <w:pPr>
        <w:spacing w:beforeLines="50" w:afterLines="50"/>
        <w:outlineLvl w:val="1"/>
        <w:rPr>
          <w:rFonts w:ascii="黑体" w:eastAsia="黑体" w:hAnsi="黑体"/>
          <w:b/>
          <w:sz w:val="30"/>
          <w:szCs w:val="30"/>
        </w:rPr>
      </w:pPr>
      <w:r>
        <w:rPr>
          <w:rFonts w:ascii="黑体" w:eastAsia="黑体" w:hAnsi="黑体" w:hint="eastAsia"/>
          <w:b/>
          <w:sz w:val="30"/>
          <w:szCs w:val="30"/>
        </w:rPr>
        <w:t>一、规划背景</w:t>
      </w:r>
      <w:bookmarkEnd w:id="0"/>
    </w:p>
    <w:p w:rsidR="00970D10" w:rsidRDefault="00970D10">
      <w:pPr>
        <w:pStyle w:val="a"/>
        <w:ind w:firstLine="480"/>
        <w:jc w:val="both"/>
      </w:pPr>
      <w:r>
        <w:rPr>
          <w:rFonts w:hint="eastAsia"/>
        </w:rPr>
        <w:t>近年来，临夏市经济持续健康发展，综合实力不断增强，但随着城市发展步伐的加快，城市的快速发展与城市基础设施建设滞后之间矛盾日益显现，特别是经过近年来的大规模建设和改造，城市基础设施承载能力已近极限。为拓展城市发展空间、构筑甘肃中南部经济区域中心城市、建立环境友好型、资源节约型城市，提高城市基础设施承载能力已刻不容缓。</w:t>
      </w:r>
    </w:p>
    <w:p w:rsidR="00970D10" w:rsidRDefault="00970D10" w:rsidP="00372E46">
      <w:pPr>
        <w:spacing w:beforeLines="50" w:afterLines="50"/>
        <w:outlineLvl w:val="1"/>
        <w:rPr>
          <w:rFonts w:ascii="黑体" w:eastAsia="黑体" w:hAnsi="黑体"/>
          <w:b/>
          <w:sz w:val="30"/>
          <w:szCs w:val="30"/>
        </w:rPr>
      </w:pPr>
      <w:bookmarkStart w:id="1" w:name="_Toc523822409"/>
      <w:r>
        <w:rPr>
          <w:rFonts w:ascii="黑体" w:eastAsia="黑体" w:hAnsi="黑体" w:hint="eastAsia"/>
          <w:b/>
          <w:sz w:val="30"/>
          <w:szCs w:val="30"/>
        </w:rPr>
        <w:t>二、规划范围</w:t>
      </w:r>
      <w:bookmarkEnd w:id="1"/>
      <w:r>
        <w:rPr>
          <w:rFonts w:ascii="黑体" w:eastAsia="黑体" w:hAnsi="黑体" w:hint="eastAsia"/>
          <w:b/>
          <w:sz w:val="30"/>
          <w:szCs w:val="30"/>
        </w:rPr>
        <w:t>及期限</w:t>
      </w:r>
    </w:p>
    <w:p w:rsidR="00970D10" w:rsidRDefault="00970D10" w:rsidP="00372E46">
      <w:pPr>
        <w:spacing w:beforeLines="50" w:afterLines="50"/>
        <w:outlineLvl w:val="1"/>
        <w:rPr>
          <w:rFonts w:ascii="黑体" w:eastAsia="黑体" w:hAnsi="黑体"/>
          <w:b/>
          <w:sz w:val="28"/>
          <w:szCs w:val="28"/>
        </w:rPr>
      </w:pPr>
      <w:r>
        <w:rPr>
          <w:rFonts w:ascii="黑体" w:eastAsia="黑体" w:hAnsi="黑体"/>
          <w:b/>
          <w:sz w:val="28"/>
          <w:szCs w:val="28"/>
        </w:rPr>
        <w:t>1.</w:t>
      </w:r>
      <w:r>
        <w:rPr>
          <w:rFonts w:ascii="黑体" w:eastAsia="黑体" w:hAnsi="黑体" w:hint="eastAsia"/>
          <w:b/>
          <w:sz w:val="28"/>
          <w:szCs w:val="28"/>
        </w:rPr>
        <w:t>规划范围</w:t>
      </w:r>
    </w:p>
    <w:p w:rsidR="00970D10" w:rsidRDefault="00970D10">
      <w:pPr>
        <w:pStyle w:val="a"/>
        <w:ind w:firstLine="480"/>
      </w:pPr>
      <w:bookmarkStart w:id="2" w:name="_Toc502512789"/>
      <w:bookmarkStart w:id="3" w:name="_Toc504422157"/>
      <w:bookmarkStart w:id="4" w:name="_Toc312693887"/>
      <w:bookmarkStart w:id="5" w:name="_Toc504421842"/>
      <w:bookmarkStart w:id="6" w:name="_Toc497234387"/>
      <w:r>
        <w:rPr>
          <w:rFonts w:hint="eastAsia"/>
        </w:rPr>
        <w:t>本次规划范围位于临夏市行政辖区范围内，覆盖了临夏市域范围内的全部城市建设用地，北至环城北路，东至临夏市东侧边界、规划</w:t>
      </w:r>
      <w:r>
        <w:t>G568</w:t>
      </w:r>
      <w:r>
        <w:rPr>
          <w:rFonts w:hint="eastAsia"/>
        </w:rPr>
        <w:t>（原</w:t>
      </w:r>
      <w:r>
        <w:t>G213</w:t>
      </w:r>
      <w:r>
        <w:rPr>
          <w:rFonts w:hint="eastAsia"/>
        </w:rPr>
        <w:t>），南至临夏市南侧边界，西至分洪渠路。规划控制范围</w:t>
      </w:r>
      <w:r>
        <w:t>68.23</w:t>
      </w:r>
      <w:r>
        <w:rPr>
          <w:rFonts w:hint="eastAsia"/>
        </w:rPr>
        <w:t>平方公里。</w:t>
      </w:r>
    </w:p>
    <w:p w:rsidR="00970D10" w:rsidRDefault="00970D10" w:rsidP="008D3534">
      <w:pPr>
        <w:spacing w:beforeLines="50" w:afterLines="50"/>
        <w:outlineLvl w:val="1"/>
        <w:rPr>
          <w:rFonts w:ascii="黑体" w:eastAsia="黑体" w:hAnsi="黑体"/>
          <w:b/>
          <w:sz w:val="28"/>
          <w:szCs w:val="28"/>
        </w:rPr>
      </w:pPr>
      <w:r>
        <w:rPr>
          <w:rFonts w:ascii="黑体" w:eastAsia="黑体" w:hAnsi="黑体"/>
          <w:b/>
          <w:sz w:val="28"/>
          <w:szCs w:val="28"/>
        </w:rPr>
        <w:t>2.</w:t>
      </w:r>
      <w:r>
        <w:rPr>
          <w:rFonts w:ascii="黑体" w:eastAsia="黑体" w:hAnsi="黑体" w:hint="eastAsia"/>
          <w:b/>
          <w:sz w:val="28"/>
          <w:szCs w:val="28"/>
        </w:rPr>
        <w:t>规划期限</w:t>
      </w:r>
    </w:p>
    <w:bookmarkEnd w:id="2"/>
    <w:bookmarkEnd w:id="3"/>
    <w:bookmarkEnd w:id="4"/>
    <w:bookmarkEnd w:id="5"/>
    <w:bookmarkEnd w:id="6"/>
    <w:p w:rsidR="00970D10" w:rsidRDefault="00970D10">
      <w:pPr>
        <w:pStyle w:val="a"/>
        <w:ind w:firstLine="480"/>
      </w:pPr>
      <w:r>
        <w:rPr>
          <w:rFonts w:hint="eastAsia"/>
        </w:rPr>
        <w:t>本次专项规划期限为</w:t>
      </w:r>
      <w:r>
        <w:t>2018-2030</w:t>
      </w:r>
      <w:r>
        <w:rPr>
          <w:rFonts w:hint="eastAsia"/>
        </w:rPr>
        <w:t>年，规划基年为</w:t>
      </w:r>
      <w:r>
        <w:t>2017</w:t>
      </w:r>
      <w:r>
        <w:rPr>
          <w:rFonts w:hint="eastAsia"/>
        </w:rPr>
        <w:t>年。</w:t>
      </w:r>
    </w:p>
    <w:p w:rsidR="00970D10" w:rsidRDefault="00970D10">
      <w:pPr>
        <w:pStyle w:val="a"/>
        <w:ind w:firstLine="480"/>
      </w:pPr>
      <w:r>
        <w:rPr>
          <w:rFonts w:hint="eastAsia"/>
        </w:rPr>
        <w:t>其中：近期</w:t>
      </w:r>
      <w:r>
        <w:t>2018-2020</w:t>
      </w:r>
      <w:r>
        <w:rPr>
          <w:rFonts w:hint="eastAsia"/>
        </w:rPr>
        <w:t>年；远期</w:t>
      </w:r>
      <w:r>
        <w:t>2021-2030</w:t>
      </w:r>
      <w:r>
        <w:rPr>
          <w:rFonts w:hint="eastAsia"/>
        </w:rPr>
        <w:t>年。</w:t>
      </w:r>
    </w:p>
    <w:p w:rsidR="00970D10" w:rsidRDefault="00970D10" w:rsidP="00372E46">
      <w:pPr>
        <w:spacing w:beforeLines="50" w:afterLines="50"/>
        <w:outlineLvl w:val="1"/>
        <w:rPr>
          <w:rFonts w:ascii="黑体" w:eastAsia="黑体" w:hAnsi="黑体"/>
          <w:b/>
          <w:sz w:val="30"/>
          <w:szCs w:val="30"/>
        </w:rPr>
      </w:pPr>
      <w:r>
        <w:rPr>
          <w:rFonts w:ascii="黑体" w:eastAsia="黑体" w:hAnsi="黑体" w:hint="eastAsia"/>
          <w:b/>
          <w:sz w:val="30"/>
          <w:szCs w:val="30"/>
        </w:rPr>
        <w:t>三、规划标准</w:t>
      </w:r>
    </w:p>
    <w:p w:rsidR="00970D10" w:rsidRDefault="00970D10" w:rsidP="00372E46">
      <w:pPr>
        <w:spacing w:beforeLines="50" w:afterLines="50"/>
        <w:outlineLvl w:val="1"/>
        <w:rPr>
          <w:rFonts w:ascii="黑体" w:eastAsia="黑体" w:hAnsi="黑体"/>
          <w:b/>
          <w:sz w:val="28"/>
          <w:szCs w:val="28"/>
        </w:rPr>
      </w:pPr>
      <w:r>
        <w:rPr>
          <w:rFonts w:ascii="黑体" w:eastAsia="黑体" w:hAnsi="黑体"/>
          <w:b/>
          <w:sz w:val="28"/>
          <w:szCs w:val="28"/>
        </w:rPr>
        <w:t>1.</w:t>
      </w:r>
      <w:r>
        <w:rPr>
          <w:rFonts w:ascii="黑体" w:eastAsia="黑体" w:hAnsi="黑体" w:hint="eastAsia"/>
          <w:b/>
          <w:sz w:val="28"/>
          <w:szCs w:val="28"/>
        </w:rPr>
        <w:t>雨水径流控制标准</w:t>
      </w:r>
    </w:p>
    <w:p w:rsidR="00970D10" w:rsidRDefault="00970D10">
      <w:pPr>
        <w:pStyle w:val="a"/>
        <w:ind w:firstLine="480"/>
        <w:rPr>
          <w:color w:val="4F81BD"/>
        </w:rPr>
      </w:pPr>
      <w:r>
        <w:rPr>
          <w:rFonts w:hint="eastAsia"/>
        </w:rPr>
        <w:t>贯彻低影响开发的核心理念，严格控制新建区开发标准：（</w:t>
      </w:r>
      <w:r>
        <w:t>1</w:t>
      </w:r>
      <w:r>
        <w:rPr>
          <w:rFonts w:hint="eastAsia"/>
        </w:rPr>
        <w:t>）城市开发建设后的径流不超过开发前；（</w:t>
      </w:r>
      <w:r>
        <w:t>2</w:t>
      </w:r>
      <w:r>
        <w:rPr>
          <w:rFonts w:hint="eastAsia"/>
        </w:rPr>
        <w:t>）城市改造不能给已有的设施增加额外的径流负担。通过低影响开发手段，综合蓄、渗、滞、净、用、排等手段，保证：新建城区单位土地开发面积的雨水蓄滞量不小于</w:t>
      </w:r>
      <w:r>
        <w:t>500m</w:t>
      </w:r>
      <w:r>
        <w:rPr>
          <w:rFonts w:hint="eastAsia"/>
        </w:rPr>
        <w:t>³</w:t>
      </w:r>
      <w:r>
        <w:t>/ha</w:t>
      </w:r>
      <w:r>
        <w:rPr>
          <w:rFonts w:hint="eastAsia"/>
        </w:rPr>
        <w:t>。</w:t>
      </w:r>
    </w:p>
    <w:p w:rsidR="00970D10" w:rsidRDefault="00970D10" w:rsidP="00372E46">
      <w:pPr>
        <w:spacing w:beforeLines="50" w:afterLines="50"/>
        <w:outlineLvl w:val="1"/>
        <w:rPr>
          <w:rFonts w:ascii="黑体" w:eastAsia="黑体" w:hAnsi="黑体"/>
          <w:b/>
          <w:sz w:val="28"/>
          <w:szCs w:val="28"/>
        </w:rPr>
      </w:pPr>
      <w:r>
        <w:rPr>
          <w:rFonts w:ascii="黑体" w:eastAsia="黑体" w:hAnsi="黑体"/>
          <w:b/>
          <w:sz w:val="28"/>
          <w:szCs w:val="28"/>
        </w:rPr>
        <w:t>2.</w:t>
      </w:r>
      <w:r>
        <w:rPr>
          <w:rFonts w:ascii="黑体" w:eastAsia="黑体" w:hAnsi="黑体" w:hint="eastAsia"/>
          <w:b/>
          <w:sz w:val="28"/>
          <w:szCs w:val="28"/>
        </w:rPr>
        <w:t>径流系数</w:t>
      </w:r>
    </w:p>
    <w:p w:rsidR="00970D10" w:rsidRDefault="00970D10">
      <w:pPr>
        <w:pStyle w:val="a"/>
        <w:ind w:firstLine="480"/>
      </w:pPr>
      <w:r>
        <w:rPr>
          <w:rFonts w:hint="eastAsia"/>
        </w:rPr>
        <w:t>径流系数应根据地面状况与重现期水平综合考虑，在管网系统设计标准范围内，排水管道规划计算时综合径流系数统一取值</w:t>
      </w:r>
      <w:r>
        <w:t>0.55</w:t>
      </w:r>
      <w:r>
        <w:rPr>
          <w:rFonts w:hint="eastAsia"/>
        </w:rPr>
        <w:t>。</w:t>
      </w:r>
    </w:p>
    <w:p w:rsidR="00970D10" w:rsidRDefault="00970D10" w:rsidP="00372E46">
      <w:pPr>
        <w:spacing w:beforeLines="50" w:afterLines="50"/>
        <w:outlineLvl w:val="1"/>
        <w:rPr>
          <w:rFonts w:ascii="黑体" w:eastAsia="黑体" w:hAnsi="黑体"/>
          <w:b/>
          <w:sz w:val="28"/>
          <w:szCs w:val="28"/>
        </w:rPr>
      </w:pPr>
      <w:r>
        <w:rPr>
          <w:rFonts w:ascii="黑体" w:eastAsia="黑体" w:hAnsi="黑体"/>
          <w:b/>
          <w:sz w:val="28"/>
          <w:szCs w:val="28"/>
        </w:rPr>
        <w:t>3.</w:t>
      </w:r>
      <w:r>
        <w:rPr>
          <w:rFonts w:ascii="黑体" w:eastAsia="黑体" w:hAnsi="黑体" w:hint="eastAsia"/>
          <w:b/>
          <w:sz w:val="28"/>
          <w:szCs w:val="28"/>
        </w:rPr>
        <w:t>重现期标准</w:t>
      </w:r>
    </w:p>
    <w:p w:rsidR="00970D10" w:rsidRDefault="00970D10">
      <w:pPr>
        <w:pStyle w:val="a"/>
        <w:ind w:firstLine="480"/>
      </w:pPr>
      <w:r>
        <w:rPr>
          <w:rFonts w:hint="eastAsia"/>
        </w:rPr>
        <w:t>综合临夏市城区具体情况，参考国外发达国家城市雨水管道系统标准，根据《室外排水设计规范》（</w:t>
      </w:r>
      <w:r>
        <w:t>GB50014</w:t>
      </w:r>
      <w:r>
        <w:rPr>
          <w:rFonts w:hint="eastAsia"/>
        </w:rPr>
        <w:t>－</w:t>
      </w:r>
      <w:r>
        <w:t>2006</w:t>
      </w:r>
      <w:r>
        <w:rPr>
          <w:rFonts w:hint="eastAsia"/>
        </w:rPr>
        <w:t>）</w:t>
      </w:r>
      <w:r>
        <w:t>2016</w:t>
      </w:r>
      <w:r>
        <w:rPr>
          <w:rFonts w:hint="eastAsia"/>
        </w:rPr>
        <w:t>年版确定，临夏市城区雨水管渠设计暴雨重现期如下：</w:t>
      </w:r>
    </w:p>
    <w:p w:rsidR="00970D10" w:rsidRDefault="00970D10">
      <w:pPr>
        <w:pStyle w:val="a"/>
        <w:ind w:firstLine="480"/>
      </w:pPr>
      <w:r>
        <w:rPr>
          <w:rFonts w:hint="eastAsia"/>
        </w:rPr>
        <w:t>（</w:t>
      </w:r>
      <w:r>
        <w:t>1</w:t>
      </w:r>
      <w:r>
        <w:rPr>
          <w:rFonts w:hint="eastAsia"/>
        </w:rPr>
        <w:t>）临夏市城区雨水管渠设计重现期选用</w:t>
      </w:r>
      <w:r>
        <w:t>3</w:t>
      </w:r>
      <w:r>
        <w:rPr>
          <w:rFonts w:hint="eastAsia"/>
        </w:rPr>
        <w:t>年；</w:t>
      </w:r>
    </w:p>
    <w:p w:rsidR="00970D10" w:rsidRDefault="00970D10">
      <w:pPr>
        <w:pStyle w:val="a"/>
        <w:ind w:firstLine="480"/>
      </w:pPr>
      <w:r>
        <w:rPr>
          <w:rFonts w:hint="eastAsia"/>
        </w:rPr>
        <w:t>（</w:t>
      </w:r>
      <w:r>
        <w:t>2</w:t>
      </w:r>
      <w:r>
        <w:rPr>
          <w:rFonts w:hint="eastAsia"/>
        </w:rPr>
        <w:t>）临夏市非中心城区雨水管渠设计重现期选用</w:t>
      </w:r>
      <w:r>
        <w:t>3</w:t>
      </w:r>
      <w:r>
        <w:rPr>
          <w:rFonts w:hint="eastAsia"/>
        </w:rPr>
        <w:t>年；</w:t>
      </w:r>
    </w:p>
    <w:p w:rsidR="00970D10" w:rsidRDefault="00970D10">
      <w:pPr>
        <w:pStyle w:val="a"/>
        <w:ind w:firstLine="480"/>
      </w:pPr>
      <w:r>
        <w:rPr>
          <w:rFonts w:hint="eastAsia"/>
        </w:rPr>
        <w:t>（</w:t>
      </w:r>
      <w:r>
        <w:t>3</w:t>
      </w:r>
      <w:r>
        <w:rPr>
          <w:rFonts w:hint="eastAsia"/>
        </w:rPr>
        <w:t>）临夏市城区的重要地区雨水管渠设计重现期选用</w:t>
      </w:r>
      <w:r>
        <w:t>5</w:t>
      </w:r>
      <w:r>
        <w:rPr>
          <w:rFonts w:hint="eastAsia"/>
        </w:rPr>
        <w:t>年。</w:t>
      </w:r>
    </w:p>
    <w:p w:rsidR="00970D10" w:rsidRDefault="00970D10">
      <w:pPr>
        <w:pStyle w:val="a"/>
        <w:ind w:firstLine="480"/>
      </w:pPr>
      <w:r>
        <w:rPr>
          <w:rFonts w:hint="eastAsia"/>
        </w:rPr>
        <w:t>规划大夏河及红水河城区部分防洪标准为</w:t>
      </w:r>
      <w:r>
        <w:t>50</w:t>
      </w:r>
      <w:r>
        <w:rPr>
          <w:rFonts w:hint="eastAsia"/>
        </w:rPr>
        <w:t>年一遇，牛津河城区部分的防洪标准为</w:t>
      </w:r>
      <w:r>
        <w:t>20</w:t>
      </w:r>
      <w:r>
        <w:rPr>
          <w:rFonts w:hint="eastAsia"/>
        </w:rPr>
        <w:t>年一遇，山洪的防洪标准为</w:t>
      </w:r>
      <w:r>
        <w:t>10</w:t>
      </w:r>
      <w:r>
        <w:rPr>
          <w:rFonts w:hint="eastAsia"/>
        </w:rPr>
        <w:t>年一遇标准。</w:t>
      </w:r>
      <w:r>
        <w:t xml:space="preserve"> </w:t>
      </w:r>
    </w:p>
    <w:p w:rsidR="00970D10" w:rsidRDefault="00970D10">
      <w:pPr>
        <w:pStyle w:val="a"/>
        <w:ind w:firstLine="480"/>
      </w:pPr>
      <w:r>
        <w:rPr>
          <w:rFonts w:hint="eastAsia"/>
        </w:rPr>
        <w:t>根据总体规划确定，本规划临夏市内涝防治标准为</w:t>
      </w:r>
      <w:r>
        <w:t xml:space="preserve"> 30 </w:t>
      </w:r>
      <w:r>
        <w:rPr>
          <w:rFonts w:hint="eastAsia"/>
        </w:rPr>
        <w:t>年一遇。</w:t>
      </w:r>
    </w:p>
    <w:p w:rsidR="00970D10" w:rsidRDefault="00970D10" w:rsidP="00372E46">
      <w:pPr>
        <w:spacing w:beforeLines="50" w:afterLines="50"/>
        <w:outlineLvl w:val="1"/>
        <w:rPr>
          <w:rFonts w:ascii="黑体" w:eastAsia="黑体" w:hAnsi="黑体"/>
          <w:b/>
          <w:sz w:val="30"/>
          <w:szCs w:val="30"/>
        </w:rPr>
      </w:pPr>
      <w:r>
        <w:rPr>
          <w:rFonts w:ascii="黑体" w:eastAsia="黑体" w:hAnsi="黑体" w:hint="eastAsia"/>
          <w:b/>
          <w:sz w:val="30"/>
          <w:szCs w:val="30"/>
        </w:rPr>
        <w:t>四、排水系统规划</w:t>
      </w:r>
    </w:p>
    <w:p w:rsidR="00970D10" w:rsidRDefault="00970D10" w:rsidP="00372E46">
      <w:pPr>
        <w:spacing w:beforeLines="50" w:afterLines="50"/>
        <w:outlineLvl w:val="1"/>
        <w:rPr>
          <w:rFonts w:ascii="黑体" w:eastAsia="黑体" w:hAnsi="黑体"/>
          <w:b/>
          <w:sz w:val="28"/>
          <w:szCs w:val="28"/>
        </w:rPr>
      </w:pPr>
      <w:r>
        <w:rPr>
          <w:rFonts w:ascii="黑体" w:eastAsia="黑体" w:hAnsi="黑体"/>
          <w:b/>
          <w:sz w:val="28"/>
          <w:szCs w:val="28"/>
        </w:rPr>
        <w:t>1.</w:t>
      </w:r>
      <w:r>
        <w:rPr>
          <w:rFonts w:ascii="黑体" w:eastAsia="黑体" w:hAnsi="黑体" w:hint="eastAsia"/>
          <w:b/>
          <w:sz w:val="28"/>
          <w:szCs w:val="28"/>
        </w:rPr>
        <w:t>排水体制</w:t>
      </w:r>
    </w:p>
    <w:p w:rsidR="00970D10" w:rsidRDefault="00970D10">
      <w:pPr>
        <w:pStyle w:val="a"/>
        <w:ind w:firstLine="480"/>
      </w:pPr>
      <w:r>
        <w:rPr>
          <w:rFonts w:hint="eastAsia"/>
        </w:rPr>
        <w:t>排水体制一般分为合流制和分流制两种，根据城市总体规划及临夏市城区现状情况，临夏市城区排水体制采用雨污分流制。</w:t>
      </w:r>
    </w:p>
    <w:p w:rsidR="00970D10" w:rsidRDefault="00970D10" w:rsidP="00372E46">
      <w:pPr>
        <w:spacing w:beforeLines="50" w:afterLines="50"/>
        <w:outlineLvl w:val="1"/>
        <w:rPr>
          <w:rFonts w:ascii="黑体" w:eastAsia="黑体" w:hAnsi="黑体"/>
          <w:b/>
          <w:sz w:val="28"/>
          <w:szCs w:val="28"/>
        </w:rPr>
      </w:pPr>
      <w:bookmarkStart w:id="7" w:name="_Toc523822430"/>
      <w:r>
        <w:rPr>
          <w:rFonts w:ascii="黑体" w:eastAsia="黑体" w:hAnsi="黑体"/>
          <w:b/>
          <w:sz w:val="28"/>
          <w:szCs w:val="28"/>
        </w:rPr>
        <w:t>2.</w:t>
      </w:r>
      <w:r>
        <w:rPr>
          <w:rFonts w:ascii="黑体" w:eastAsia="黑体" w:hAnsi="黑体" w:hint="eastAsia"/>
          <w:b/>
          <w:sz w:val="28"/>
          <w:szCs w:val="28"/>
        </w:rPr>
        <w:t>排水分区</w:t>
      </w:r>
      <w:bookmarkEnd w:id="7"/>
    </w:p>
    <w:p w:rsidR="00970D10" w:rsidRDefault="00970D10">
      <w:pPr>
        <w:pStyle w:val="a"/>
        <w:ind w:firstLine="480"/>
      </w:pPr>
      <w:r>
        <w:rPr>
          <w:rFonts w:hint="eastAsia"/>
        </w:rPr>
        <w:t>本规划在上版雨水规划系统分区的基础上，根据最新的城市规划情况与提高排水标准的要求，进一步优化细化各系统子分区范围，明确规划排口的服务范围，本次规划共确定</w:t>
      </w:r>
      <w:r>
        <w:t>10</w:t>
      </w:r>
      <w:r>
        <w:rPr>
          <w:rFonts w:hint="eastAsia"/>
        </w:rPr>
        <w:t>个排水分区，总汇水面积约</w:t>
      </w:r>
      <w:r>
        <w:t>4153.17</w:t>
      </w:r>
      <w:r>
        <w:rPr>
          <w:rFonts w:hint="eastAsia"/>
        </w:rPr>
        <w:t>公顷。</w:t>
      </w:r>
    </w:p>
    <w:p w:rsidR="00970D10" w:rsidRDefault="00970D10" w:rsidP="00372E46">
      <w:pPr>
        <w:spacing w:beforeLines="50" w:afterLines="50"/>
        <w:outlineLvl w:val="1"/>
        <w:rPr>
          <w:rFonts w:ascii="黑体" w:eastAsia="黑体" w:hAnsi="黑体"/>
          <w:b/>
          <w:sz w:val="28"/>
          <w:szCs w:val="28"/>
        </w:rPr>
      </w:pPr>
      <w:r>
        <w:rPr>
          <w:rFonts w:ascii="黑体" w:eastAsia="黑体" w:hAnsi="黑体"/>
          <w:b/>
          <w:sz w:val="28"/>
          <w:szCs w:val="28"/>
        </w:rPr>
        <w:t>3.</w:t>
      </w:r>
      <w:r>
        <w:rPr>
          <w:rFonts w:ascii="黑体" w:eastAsia="黑体" w:hAnsi="黑体" w:hint="eastAsia"/>
          <w:b/>
          <w:sz w:val="28"/>
          <w:szCs w:val="28"/>
        </w:rPr>
        <w:t>管网布局原则</w:t>
      </w:r>
    </w:p>
    <w:p w:rsidR="00970D10" w:rsidRDefault="00970D10">
      <w:pPr>
        <w:pStyle w:val="a"/>
        <w:ind w:firstLine="480"/>
      </w:pPr>
      <w:r>
        <w:rPr>
          <w:rFonts w:hint="eastAsia"/>
        </w:rPr>
        <w:t>规划将结合城市地形水系，考虑地质条件、路网规划、已建与规划设施、造价、维护管理等因素，合理布局城市排水管渠系统。充分考虑与城市防洪设施和防涝设施的衔接，确保排水通畅。</w:t>
      </w:r>
    </w:p>
    <w:p w:rsidR="00970D10" w:rsidRDefault="00970D10">
      <w:pPr>
        <w:pStyle w:val="a"/>
        <w:ind w:firstLine="480"/>
      </w:pPr>
      <w:r>
        <w:rPr>
          <w:rFonts w:hint="eastAsia"/>
        </w:rPr>
        <w:t>重力自由出流的管道按满管流设计计算，淹没出流的管道需充分考虑河道水位的变化情况，雨水管道最小覆土为</w:t>
      </w:r>
      <w:r>
        <w:t>2</w:t>
      </w:r>
      <w:r>
        <w:rPr>
          <w:rFonts w:hint="eastAsia"/>
        </w:rPr>
        <w:t>米。</w:t>
      </w:r>
    </w:p>
    <w:p w:rsidR="00970D10" w:rsidRDefault="00970D10" w:rsidP="00372E46">
      <w:pPr>
        <w:spacing w:beforeLines="50" w:afterLines="50"/>
        <w:outlineLvl w:val="1"/>
        <w:rPr>
          <w:rFonts w:ascii="黑体" w:eastAsia="黑体" w:hAnsi="黑体"/>
          <w:b/>
          <w:sz w:val="30"/>
          <w:szCs w:val="30"/>
        </w:rPr>
      </w:pPr>
      <w:r>
        <w:rPr>
          <w:rFonts w:ascii="黑体" w:eastAsia="黑体" w:hAnsi="黑体" w:hint="eastAsia"/>
          <w:b/>
          <w:sz w:val="30"/>
          <w:szCs w:val="30"/>
        </w:rPr>
        <w:t>五、防涝系统规划</w:t>
      </w:r>
    </w:p>
    <w:p w:rsidR="00970D10" w:rsidRDefault="00970D10" w:rsidP="00372E46">
      <w:pPr>
        <w:spacing w:beforeLines="50" w:afterLines="50"/>
        <w:outlineLvl w:val="1"/>
        <w:rPr>
          <w:rFonts w:ascii="黑体" w:eastAsia="黑体" w:hAnsi="黑体"/>
          <w:b/>
          <w:sz w:val="28"/>
          <w:szCs w:val="28"/>
        </w:rPr>
      </w:pPr>
      <w:r>
        <w:rPr>
          <w:rFonts w:ascii="黑体" w:eastAsia="黑体" w:hAnsi="黑体"/>
          <w:b/>
          <w:sz w:val="28"/>
          <w:szCs w:val="28"/>
        </w:rPr>
        <w:t>1.</w:t>
      </w:r>
      <w:r>
        <w:rPr>
          <w:rFonts w:ascii="黑体" w:eastAsia="黑体" w:hAnsi="黑体" w:hint="eastAsia"/>
          <w:b/>
          <w:sz w:val="28"/>
          <w:szCs w:val="28"/>
        </w:rPr>
        <w:t>防涝分区</w:t>
      </w:r>
    </w:p>
    <w:p w:rsidR="00970D10" w:rsidRDefault="00970D10">
      <w:pPr>
        <w:pStyle w:val="a"/>
        <w:ind w:firstLine="480"/>
      </w:pPr>
      <w:r>
        <w:rPr>
          <w:rFonts w:hint="eastAsia"/>
        </w:rPr>
        <w:t>防涝系统分区，主要考虑以下因素：（</w:t>
      </w:r>
      <w:r>
        <w:t>1</w:t>
      </w:r>
      <w:r>
        <w:rPr>
          <w:rFonts w:hint="eastAsia"/>
        </w:rPr>
        <w:t>）城市功能区规划与防涝标准；（</w:t>
      </w:r>
      <w:r>
        <w:t>2</w:t>
      </w:r>
      <w:r>
        <w:rPr>
          <w:rFonts w:hint="eastAsia"/>
        </w:rPr>
        <w:t>）天然汇水系统；尊重自然形成的冲沟等汇流路径（</w:t>
      </w:r>
      <w:r>
        <w:t>3</w:t>
      </w:r>
      <w:r>
        <w:rPr>
          <w:rFonts w:hint="eastAsia"/>
        </w:rPr>
        <w:t>）地形地貌及河道、铁路等自然障碍边界；（</w:t>
      </w:r>
      <w:r>
        <w:t>4</w:t>
      </w:r>
      <w:r>
        <w:rPr>
          <w:rFonts w:hint="eastAsia"/>
        </w:rPr>
        <w:t>）竖向规划与受纳水体水位情况；（</w:t>
      </w:r>
      <w:r>
        <w:t>5</w:t>
      </w:r>
      <w:r>
        <w:rPr>
          <w:rFonts w:hint="eastAsia"/>
        </w:rPr>
        <w:t>）排水管网规划建设情况；（</w:t>
      </w:r>
      <w:r>
        <w:t>6</w:t>
      </w:r>
      <w:r>
        <w:rPr>
          <w:rFonts w:hint="eastAsia"/>
        </w:rPr>
        <w:t>）路网与水系情况（</w:t>
      </w:r>
      <w:r>
        <w:t>7</w:t>
      </w:r>
      <w:r>
        <w:rPr>
          <w:rFonts w:hint="eastAsia"/>
        </w:rPr>
        <w:t>）绿地、广场、内湖等规划情况；（</w:t>
      </w:r>
      <w:r>
        <w:t>8</w:t>
      </w:r>
      <w:r>
        <w:rPr>
          <w:rFonts w:hint="eastAsia"/>
        </w:rPr>
        <w:t>）工程经济性。</w:t>
      </w:r>
    </w:p>
    <w:p w:rsidR="00970D10" w:rsidRDefault="00970D10">
      <w:pPr>
        <w:pStyle w:val="a"/>
        <w:ind w:firstLine="480"/>
        <w:jc w:val="both"/>
      </w:pPr>
      <w:r>
        <w:rPr>
          <w:rFonts w:hint="eastAsia"/>
        </w:rPr>
        <w:t>本次规划确定临夏市城区为</w:t>
      </w:r>
      <w:r>
        <w:t>10</w:t>
      </w:r>
      <w:r>
        <w:rPr>
          <w:rFonts w:hint="eastAsia"/>
        </w:rPr>
        <w:t>个防涝分区。</w:t>
      </w:r>
    </w:p>
    <w:p w:rsidR="00970D10" w:rsidRDefault="00970D10" w:rsidP="00372E46">
      <w:pPr>
        <w:spacing w:beforeLines="50" w:afterLines="50"/>
        <w:outlineLvl w:val="1"/>
        <w:rPr>
          <w:rFonts w:ascii="黑体" w:eastAsia="黑体" w:hAnsi="黑体"/>
          <w:b/>
          <w:sz w:val="28"/>
          <w:szCs w:val="28"/>
        </w:rPr>
      </w:pPr>
      <w:r>
        <w:rPr>
          <w:rFonts w:ascii="黑体" w:eastAsia="黑体" w:hAnsi="黑体"/>
          <w:b/>
          <w:sz w:val="28"/>
          <w:szCs w:val="28"/>
        </w:rPr>
        <w:t>2.</w:t>
      </w:r>
      <w:r>
        <w:rPr>
          <w:rFonts w:ascii="黑体" w:eastAsia="黑体" w:hAnsi="黑体" w:hint="eastAsia"/>
          <w:b/>
          <w:sz w:val="28"/>
          <w:szCs w:val="28"/>
        </w:rPr>
        <w:t>综合治理方案</w:t>
      </w:r>
    </w:p>
    <w:p w:rsidR="00970D10" w:rsidRDefault="00970D10">
      <w:pPr>
        <w:pStyle w:val="a"/>
        <w:ind w:firstLine="480"/>
      </w:pPr>
      <w:r>
        <w:rPr>
          <w:rFonts w:hint="eastAsia"/>
        </w:rPr>
        <w:t>大夏河、牛津河、红水河河道规划标准能够基本能够满足区域排水防涝的需求，应尽快对由于景观改造或施工建设等原因造成的未达到规划标准的部分河道开展综合整治工程。</w:t>
      </w:r>
    </w:p>
    <w:p w:rsidR="00970D10" w:rsidRDefault="00970D10" w:rsidP="00372E46">
      <w:pPr>
        <w:spacing w:beforeLines="50" w:afterLines="50"/>
        <w:outlineLvl w:val="1"/>
        <w:rPr>
          <w:rFonts w:ascii="黑体" w:eastAsia="黑体" w:hAnsi="黑体"/>
          <w:b/>
          <w:sz w:val="30"/>
          <w:szCs w:val="30"/>
        </w:rPr>
      </w:pPr>
      <w:r>
        <w:rPr>
          <w:rFonts w:ascii="黑体" w:eastAsia="黑体" w:hAnsi="黑体" w:hint="eastAsia"/>
          <w:b/>
          <w:sz w:val="30"/>
          <w:szCs w:val="30"/>
        </w:rPr>
        <w:t>六、管理规划及保障措施</w:t>
      </w:r>
    </w:p>
    <w:p w:rsidR="00970D10" w:rsidRDefault="00970D10" w:rsidP="00372E46">
      <w:pPr>
        <w:spacing w:beforeLines="50" w:afterLines="50"/>
        <w:outlineLvl w:val="1"/>
        <w:rPr>
          <w:rFonts w:ascii="黑体" w:eastAsia="黑体" w:hAnsi="黑体"/>
          <w:b/>
          <w:sz w:val="28"/>
          <w:szCs w:val="28"/>
        </w:rPr>
      </w:pPr>
      <w:r>
        <w:rPr>
          <w:rFonts w:ascii="黑体" w:eastAsia="黑体" w:hAnsi="黑体"/>
          <w:b/>
          <w:sz w:val="28"/>
          <w:szCs w:val="28"/>
        </w:rPr>
        <w:t>1.</w:t>
      </w:r>
      <w:r>
        <w:rPr>
          <w:rFonts w:ascii="黑体" w:eastAsia="黑体" w:hAnsi="黑体" w:hint="eastAsia"/>
          <w:b/>
          <w:sz w:val="28"/>
          <w:szCs w:val="28"/>
        </w:rPr>
        <w:t>体制机制</w:t>
      </w:r>
    </w:p>
    <w:p w:rsidR="00970D10" w:rsidRDefault="00970D10">
      <w:pPr>
        <w:pStyle w:val="a"/>
        <w:ind w:firstLine="480"/>
      </w:pPr>
      <w:r>
        <w:rPr>
          <w:rFonts w:hint="eastAsia"/>
        </w:rPr>
        <w:t>按照《国务院办公厅关于做好城市排水防涝设施建设工作的通知》（国办发</w:t>
      </w:r>
      <w:r>
        <w:t xml:space="preserve">[2013]23 </w:t>
      </w:r>
      <w:r>
        <w:rPr>
          <w:rFonts w:hint="eastAsia"/>
        </w:rPr>
        <w:t>号）要求，建立有利于城市排水防涝统一管理的体制机制，城市排水主管部门要加强统筹，做好城市排水防涝规划、设施建设和相关工作，确保规划的要求全面落实到建设和运行管理上。</w:t>
      </w:r>
    </w:p>
    <w:p w:rsidR="00970D10" w:rsidRDefault="00970D10" w:rsidP="00372E46">
      <w:pPr>
        <w:spacing w:beforeLines="50" w:afterLines="50"/>
        <w:outlineLvl w:val="1"/>
        <w:rPr>
          <w:rFonts w:ascii="黑体" w:eastAsia="黑体" w:hAnsi="黑体"/>
          <w:b/>
          <w:sz w:val="28"/>
          <w:szCs w:val="28"/>
        </w:rPr>
      </w:pPr>
      <w:r>
        <w:rPr>
          <w:rFonts w:ascii="黑体" w:eastAsia="黑体" w:hAnsi="黑体"/>
          <w:b/>
          <w:sz w:val="28"/>
          <w:szCs w:val="28"/>
        </w:rPr>
        <w:t>2.</w:t>
      </w:r>
      <w:r>
        <w:rPr>
          <w:rFonts w:ascii="黑体" w:eastAsia="黑体" w:hAnsi="黑体" w:hint="eastAsia"/>
          <w:b/>
          <w:sz w:val="28"/>
          <w:szCs w:val="28"/>
        </w:rPr>
        <w:t>信息化建设</w:t>
      </w:r>
    </w:p>
    <w:p w:rsidR="00970D10" w:rsidRDefault="00970D10">
      <w:pPr>
        <w:pStyle w:val="a"/>
        <w:ind w:firstLine="480"/>
      </w:pPr>
      <w:r>
        <w:rPr>
          <w:rFonts w:hint="eastAsia"/>
        </w:rPr>
        <w:t>排水（雨水）防涝系统包含内容非常多，涉及范围广，必须建设信息化平台，以满足日常的管理、维护。</w:t>
      </w:r>
    </w:p>
    <w:p w:rsidR="00970D10" w:rsidRDefault="00970D10" w:rsidP="00372E46">
      <w:pPr>
        <w:spacing w:beforeLines="50" w:afterLines="50"/>
        <w:outlineLvl w:val="1"/>
        <w:rPr>
          <w:rFonts w:ascii="黑体" w:eastAsia="黑体" w:hAnsi="黑体"/>
          <w:b/>
          <w:sz w:val="28"/>
          <w:szCs w:val="28"/>
        </w:rPr>
      </w:pPr>
      <w:r>
        <w:rPr>
          <w:rFonts w:ascii="黑体" w:eastAsia="黑体" w:hAnsi="黑体"/>
          <w:b/>
          <w:sz w:val="28"/>
          <w:szCs w:val="28"/>
        </w:rPr>
        <w:t>3.</w:t>
      </w:r>
      <w:r>
        <w:rPr>
          <w:rFonts w:ascii="黑体" w:eastAsia="黑体" w:hAnsi="黑体" w:hint="eastAsia"/>
          <w:b/>
          <w:sz w:val="28"/>
          <w:szCs w:val="28"/>
        </w:rPr>
        <w:t>应急管理</w:t>
      </w:r>
    </w:p>
    <w:p w:rsidR="00970D10" w:rsidRDefault="00970D10">
      <w:pPr>
        <w:pStyle w:val="a"/>
        <w:ind w:firstLine="480"/>
      </w:pPr>
      <w:r>
        <w:rPr>
          <w:rFonts w:hint="eastAsia"/>
        </w:rPr>
        <w:t>临夏市的防内涝管理总目标是：建立健全社会防内涝预警体系，形成统一指挥、功能齐全、反应灵敏、运转高效的应急机制，提高政府防内涝能力和处置突发事件的能力，最大程度地预防和减少内涝事件及其造成的损害，保障公众的生命财产安全，维护公共利益和社会稳定，促进市区经济社会全面、协调、可持续发展。</w:t>
      </w:r>
    </w:p>
    <w:p w:rsidR="00970D10" w:rsidRDefault="00970D10" w:rsidP="00372E46">
      <w:pPr>
        <w:spacing w:beforeLines="50" w:afterLines="50"/>
        <w:outlineLvl w:val="1"/>
        <w:rPr>
          <w:rFonts w:ascii="黑体" w:eastAsia="黑体" w:hAnsi="黑体"/>
          <w:b/>
          <w:sz w:val="28"/>
          <w:szCs w:val="28"/>
        </w:rPr>
      </w:pPr>
      <w:r>
        <w:rPr>
          <w:rFonts w:ascii="黑体" w:eastAsia="黑体" w:hAnsi="黑体"/>
          <w:b/>
          <w:sz w:val="28"/>
          <w:szCs w:val="28"/>
        </w:rPr>
        <w:t>4.</w:t>
      </w:r>
      <w:r>
        <w:rPr>
          <w:rFonts w:ascii="黑体" w:eastAsia="黑体" w:hAnsi="黑体" w:hint="eastAsia"/>
          <w:b/>
          <w:sz w:val="28"/>
          <w:szCs w:val="28"/>
        </w:rPr>
        <w:t>保障措施</w:t>
      </w:r>
    </w:p>
    <w:p w:rsidR="00970D10" w:rsidRDefault="00970D10">
      <w:pPr>
        <w:pStyle w:val="a"/>
        <w:ind w:firstLine="480"/>
      </w:pPr>
      <w:r>
        <w:rPr>
          <w:rFonts w:hint="eastAsia"/>
        </w:rPr>
        <w:t>根据《国务院关于加强城市基础设施建设的意见》各级政府要充分考虑和优先保障城市基础设施建设用地需求，对于符合《划拨用地目录》的项目，应当以划拨方式供应建设用地。基础设施建设用地要纳入土地利用年度计划和建设用地供应计划，确保建设用地供应。</w:t>
      </w:r>
    </w:p>
    <w:p w:rsidR="00970D10" w:rsidRDefault="00970D10"/>
    <w:sectPr w:rsidR="00970D10" w:rsidSect="00BC40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华文细黑">
    <w:altName w:val="微软雅黑"/>
    <w:panose1 w:val="00000000000000000000"/>
    <w:charset w:val="86"/>
    <w:family w:val="auto"/>
    <w:notTrueType/>
    <w:pitch w:val="variable"/>
    <w:sig w:usb0="00000287" w:usb1="080E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393"/>
    <w:rsid w:val="00004396"/>
    <w:rsid w:val="000D0051"/>
    <w:rsid w:val="00153393"/>
    <w:rsid w:val="00164837"/>
    <w:rsid w:val="001A49E1"/>
    <w:rsid w:val="00203B27"/>
    <w:rsid w:val="00221780"/>
    <w:rsid w:val="0022441E"/>
    <w:rsid w:val="00275E4E"/>
    <w:rsid w:val="002D3BB3"/>
    <w:rsid w:val="003279A3"/>
    <w:rsid w:val="0033304E"/>
    <w:rsid w:val="0036660F"/>
    <w:rsid w:val="00372E46"/>
    <w:rsid w:val="0049082F"/>
    <w:rsid w:val="004F15D6"/>
    <w:rsid w:val="00505256"/>
    <w:rsid w:val="00580C9D"/>
    <w:rsid w:val="005B1204"/>
    <w:rsid w:val="005F38EE"/>
    <w:rsid w:val="006513E6"/>
    <w:rsid w:val="006E1891"/>
    <w:rsid w:val="006F195A"/>
    <w:rsid w:val="007A5453"/>
    <w:rsid w:val="008D3534"/>
    <w:rsid w:val="008E4673"/>
    <w:rsid w:val="009435D3"/>
    <w:rsid w:val="00965670"/>
    <w:rsid w:val="00970D10"/>
    <w:rsid w:val="009F03F5"/>
    <w:rsid w:val="00AD0A3E"/>
    <w:rsid w:val="00BA4EC8"/>
    <w:rsid w:val="00BC404B"/>
    <w:rsid w:val="00C00A18"/>
    <w:rsid w:val="00C53C8A"/>
    <w:rsid w:val="00C558E9"/>
    <w:rsid w:val="00CF19C3"/>
    <w:rsid w:val="00E92945"/>
    <w:rsid w:val="00E95420"/>
    <w:rsid w:val="00FD17B8"/>
    <w:rsid w:val="0FCC3B64"/>
    <w:rsid w:val="177447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4B"/>
    <w:pPr>
      <w:widowControl w:val="0"/>
      <w:jc w:val="both"/>
    </w:pPr>
  </w:style>
  <w:style w:type="paragraph" w:styleId="Heading4">
    <w:name w:val="heading 4"/>
    <w:basedOn w:val="Normal"/>
    <w:next w:val="Normal"/>
    <w:link w:val="Heading4Char"/>
    <w:uiPriority w:val="99"/>
    <w:qFormat/>
    <w:rsid w:val="00BC404B"/>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C404B"/>
    <w:rPr>
      <w:rFonts w:ascii="Cambria" w:eastAsia="宋体" w:hAnsi="Cambria" w:cs="Times New Roman"/>
      <w:b/>
      <w:bCs/>
      <w:sz w:val="28"/>
      <w:szCs w:val="28"/>
    </w:rPr>
  </w:style>
  <w:style w:type="paragraph" w:styleId="Date">
    <w:name w:val="Date"/>
    <w:basedOn w:val="Normal"/>
    <w:next w:val="Normal"/>
    <w:link w:val="DateChar"/>
    <w:uiPriority w:val="99"/>
    <w:semiHidden/>
    <w:rsid w:val="00BC404B"/>
    <w:pPr>
      <w:ind w:leftChars="2500" w:left="100"/>
    </w:pPr>
  </w:style>
  <w:style w:type="character" w:customStyle="1" w:styleId="DateChar">
    <w:name w:val="Date Char"/>
    <w:basedOn w:val="DefaultParagraphFont"/>
    <w:link w:val="Date"/>
    <w:uiPriority w:val="99"/>
    <w:semiHidden/>
    <w:locked/>
    <w:rsid w:val="00BC404B"/>
    <w:rPr>
      <w:rFonts w:cs="Times New Roman"/>
    </w:rPr>
  </w:style>
  <w:style w:type="paragraph" w:styleId="Footer">
    <w:name w:val="footer"/>
    <w:basedOn w:val="Normal"/>
    <w:link w:val="FooterChar"/>
    <w:uiPriority w:val="99"/>
    <w:rsid w:val="00BC404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C404B"/>
    <w:rPr>
      <w:rFonts w:cs="Times New Roman"/>
      <w:sz w:val="18"/>
      <w:szCs w:val="18"/>
    </w:rPr>
  </w:style>
  <w:style w:type="paragraph" w:styleId="Header">
    <w:name w:val="header"/>
    <w:basedOn w:val="Normal"/>
    <w:link w:val="HeaderChar"/>
    <w:uiPriority w:val="99"/>
    <w:rsid w:val="00BC404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C404B"/>
    <w:rPr>
      <w:rFonts w:cs="Times New Roman"/>
      <w:sz w:val="18"/>
      <w:szCs w:val="18"/>
    </w:rPr>
  </w:style>
  <w:style w:type="paragraph" w:styleId="ListParagraph">
    <w:name w:val="List Paragraph"/>
    <w:basedOn w:val="Normal"/>
    <w:uiPriority w:val="99"/>
    <w:qFormat/>
    <w:rsid w:val="00BC404B"/>
    <w:pPr>
      <w:ind w:firstLineChars="200" w:firstLine="420"/>
    </w:pPr>
  </w:style>
  <w:style w:type="paragraph" w:customStyle="1" w:styleId="a">
    <w:name w:val="正文段落"/>
    <w:basedOn w:val="Normal"/>
    <w:uiPriority w:val="99"/>
    <w:rsid w:val="00BC404B"/>
    <w:pPr>
      <w:adjustRightInd w:val="0"/>
      <w:snapToGrid w:val="0"/>
      <w:spacing w:line="360" w:lineRule="auto"/>
      <w:ind w:firstLineChars="200" w:firstLine="200"/>
      <w:jc w:val="left"/>
    </w:pPr>
    <w:rPr>
      <w:rFonts w:ascii="宋体" w:hAnsi="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288</Words>
  <Characters>1644</Characters>
  <Application>Microsoft Office Outlook</Application>
  <DocSecurity>0</DocSecurity>
  <Lines>0</Lines>
  <Paragraphs>0</Paragraphs>
  <ScaleCrop>false</ScaleCrop>
  <Company>MicroWin10.com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微软用户</cp:lastModifiedBy>
  <cp:revision>8</cp:revision>
  <dcterms:created xsi:type="dcterms:W3CDTF">2018-09-29T08:05:00Z</dcterms:created>
  <dcterms:modified xsi:type="dcterms:W3CDTF">2018-10-22T07:54:00Z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