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F67" w:rsidRDefault="00297F67" w:rsidP="008E312C">
      <w:pPr>
        <w:ind w:firstLine="643"/>
        <w:jc w:val="center"/>
        <w:rPr>
          <w:rFonts w:ascii="华文细黑" w:eastAsia="华文细黑"/>
          <w:b/>
          <w:sz w:val="32"/>
          <w:szCs w:val="32"/>
        </w:rPr>
      </w:pPr>
      <w:r>
        <w:rPr>
          <w:rFonts w:ascii="华文细黑" w:hAnsi="华文细黑" w:hint="eastAsia"/>
          <w:b/>
          <w:sz w:val="32"/>
          <w:szCs w:val="32"/>
        </w:rPr>
        <w:t>《临夏市城市特色风貌专项规划》</w:t>
      </w:r>
    </w:p>
    <w:p w:rsidR="00297F67" w:rsidRDefault="00297F67" w:rsidP="00356D6E">
      <w:pPr>
        <w:ind w:firstLineChars="202" w:firstLine="424"/>
      </w:pPr>
    </w:p>
    <w:p w:rsidR="00297F67" w:rsidRDefault="00297F67" w:rsidP="00356D6E">
      <w:pPr>
        <w:ind w:firstLineChars="202" w:firstLine="424"/>
      </w:pPr>
      <w:r w:rsidRPr="002A4BB9">
        <w:rPr>
          <w:rFonts w:hint="eastAsia"/>
        </w:rPr>
        <w:t>为了更好地贯彻落实《临夏市</w:t>
      </w:r>
      <w:r w:rsidRPr="002A4BB9">
        <w:t xml:space="preserve"> </w:t>
      </w:r>
      <w:r w:rsidRPr="002A4BB9">
        <w:rPr>
          <w:rFonts w:hint="eastAsia"/>
        </w:rPr>
        <w:t>临夏县城市总体规划（</w:t>
      </w:r>
      <w:r w:rsidRPr="002A4BB9">
        <w:t>201</w:t>
      </w:r>
      <w:r>
        <w:t>6-</w:t>
      </w:r>
      <w:r w:rsidRPr="002A4BB9">
        <w:t>2030</w:t>
      </w:r>
      <w:r w:rsidRPr="002A4BB9">
        <w:rPr>
          <w:rFonts w:hint="eastAsia"/>
        </w:rPr>
        <w:t>》内容，</w:t>
      </w:r>
      <w:r>
        <w:rPr>
          <w:rFonts w:hint="eastAsia"/>
        </w:rPr>
        <w:t>突出“山水古河州，多彩民俗城”的城市特色定位，在新时代城市快速发展的背景下有序引导临夏市城市建设，为城市风貌管控和特色塑造提供依据，临夏市规划局</w:t>
      </w:r>
      <w:r w:rsidRPr="002A4BB9">
        <w:rPr>
          <w:rFonts w:hint="eastAsia"/>
        </w:rPr>
        <w:t>启动编制《</w:t>
      </w:r>
      <w:r>
        <w:rPr>
          <w:rFonts w:hint="eastAsia"/>
        </w:rPr>
        <w:t>临夏市城市特色风貌专项规划</w:t>
      </w:r>
      <w:r w:rsidRPr="002A4BB9">
        <w:rPr>
          <w:rFonts w:hint="eastAsia"/>
        </w:rPr>
        <w:t>》。</w:t>
      </w:r>
    </w:p>
    <w:p w:rsidR="00297F67" w:rsidRPr="00CC3EC8" w:rsidRDefault="00297F67" w:rsidP="00CC3EC8">
      <w:pPr>
        <w:pStyle w:val="Heading1"/>
      </w:pPr>
      <w:r w:rsidRPr="00CC3EC8">
        <w:rPr>
          <w:rFonts w:hint="eastAsia"/>
        </w:rPr>
        <w:t>一、指导思想</w:t>
      </w:r>
    </w:p>
    <w:p w:rsidR="00297F67" w:rsidRDefault="00297F67" w:rsidP="008C6401">
      <w:pPr>
        <w:ind w:firstLineChars="202" w:firstLine="424"/>
      </w:pPr>
      <w:r>
        <w:rPr>
          <w:rFonts w:hint="eastAsia"/>
        </w:rPr>
        <w:t>遵循国家发展方针及民族政策，坚持以人为本、以提高城镇人居环境质量为中心，加强城乡环境综合整治，并按照彰显地域特色、统筹区域发展、坚持以人为本、传承历史文化的原则，把历史文化保护与现代化建设、景观风貌特征打造与城镇功能完善结合起来，将临夏市中的各类景观要素协调配合，致力于创造充满活力和吸引力的城市景观，形成安全优雅又有秩序的城市空间环境，体现人工与自然、历史与现代交相辉映、民族性和现代化共存、共兴的民族特色城市。</w:t>
      </w:r>
    </w:p>
    <w:p w:rsidR="00297F67" w:rsidRPr="00CC3EC8" w:rsidRDefault="00297F67" w:rsidP="00CC3EC8">
      <w:pPr>
        <w:pStyle w:val="Heading1"/>
      </w:pPr>
      <w:r w:rsidRPr="00696351">
        <w:rPr>
          <w:rFonts w:hint="eastAsia"/>
        </w:rPr>
        <w:t>二、规划范围</w:t>
      </w:r>
      <w:r w:rsidRPr="00CC3EC8">
        <w:rPr>
          <w:rFonts w:hint="eastAsia"/>
        </w:rPr>
        <w:t>与期限</w:t>
      </w:r>
    </w:p>
    <w:p w:rsidR="00297F67" w:rsidRDefault="00297F67" w:rsidP="008C6401">
      <w:pPr>
        <w:ind w:firstLineChars="202" w:firstLine="424"/>
      </w:pPr>
      <w:r>
        <w:rPr>
          <w:rFonts w:hint="eastAsia"/>
        </w:rPr>
        <w:t>研究范围：本次规划研究范围为《临夏市临夏县城市总体规划（</w:t>
      </w:r>
      <w:r>
        <w:t>2016-2030</w:t>
      </w:r>
      <w:r>
        <w:rPr>
          <w:rFonts w:hint="eastAsia"/>
        </w:rPr>
        <w:t>）》中确定的中心城区临夏市一侧范围，包括临夏市市域范围及北塬乡，面积</w:t>
      </w:r>
      <w:r>
        <w:t>123.15</w:t>
      </w:r>
      <w:r>
        <w:rPr>
          <w:rFonts w:hint="eastAsia"/>
        </w:rPr>
        <w:t>平方公里。</w:t>
      </w:r>
    </w:p>
    <w:p w:rsidR="00297F67" w:rsidRDefault="00297F67" w:rsidP="008C6401">
      <w:pPr>
        <w:ind w:firstLineChars="202" w:firstLine="424"/>
      </w:pPr>
      <w:r>
        <w:rPr>
          <w:rFonts w:hint="eastAsia"/>
        </w:rPr>
        <w:t>规划范围：本次规划规划范围为临夏市市域范围，面积</w:t>
      </w:r>
      <w:r>
        <w:t>88.6</w:t>
      </w:r>
      <w:r>
        <w:rPr>
          <w:rFonts w:hint="eastAsia"/>
        </w:rPr>
        <w:t>平方公里。</w:t>
      </w:r>
    </w:p>
    <w:p w:rsidR="00297F67" w:rsidRDefault="00297F67" w:rsidP="008C6401">
      <w:pPr>
        <w:ind w:firstLineChars="202" w:firstLine="424"/>
      </w:pPr>
      <w:r>
        <w:rPr>
          <w:rFonts w:hint="eastAsia"/>
        </w:rPr>
        <w:t>规划期限：本规划规划期限与《临夏市临夏县城市总体规划（</w:t>
      </w:r>
      <w:r>
        <w:t>2016-2030</w:t>
      </w:r>
      <w:r>
        <w:rPr>
          <w:rFonts w:hint="eastAsia"/>
        </w:rPr>
        <w:t>）》一致。</w:t>
      </w:r>
    </w:p>
    <w:p w:rsidR="00297F67" w:rsidRPr="00CC3EC8" w:rsidRDefault="00297F67" w:rsidP="00CC3EC8">
      <w:pPr>
        <w:pStyle w:val="Heading1"/>
      </w:pPr>
      <w:r w:rsidRPr="00CC3EC8">
        <w:rPr>
          <w:rFonts w:hint="eastAsia"/>
        </w:rPr>
        <w:t>三、规划依据</w:t>
      </w:r>
    </w:p>
    <w:p w:rsidR="00297F67" w:rsidRDefault="00297F67" w:rsidP="00786449">
      <w:pPr>
        <w:ind w:firstLineChars="202" w:firstLine="424"/>
      </w:pPr>
      <w:r>
        <w:rPr>
          <w:rFonts w:hint="eastAsia"/>
        </w:rPr>
        <w:t>相关法规及技术标准</w:t>
      </w:r>
    </w:p>
    <w:p w:rsidR="00297F67" w:rsidRDefault="00297F67" w:rsidP="00786449">
      <w:pPr>
        <w:ind w:firstLineChars="202" w:firstLine="424"/>
      </w:pPr>
      <w:r>
        <w:rPr>
          <w:rFonts w:hint="eastAsia"/>
        </w:rPr>
        <w:t>《中华人民共和国城乡规划法》（</w:t>
      </w:r>
      <w:r>
        <w:t>2015</w:t>
      </w:r>
      <w:r>
        <w:rPr>
          <w:rFonts w:hint="eastAsia"/>
        </w:rPr>
        <w:t>年修订）；</w:t>
      </w:r>
    </w:p>
    <w:p w:rsidR="00297F67" w:rsidRDefault="00297F67" w:rsidP="00786449">
      <w:pPr>
        <w:ind w:firstLineChars="202" w:firstLine="424"/>
      </w:pPr>
      <w:r>
        <w:rPr>
          <w:rFonts w:hint="eastAsia"/>
        </w:rPr>
        <w:t>《中华人民共和国环境保护法》（</w:t>
      </w:r>
      <w:r>
        <w:t>2015</w:t>
      </w:r>
      <w:r>
        <w:rPr>
          <w:rFonts w:hint="eastAsia"/>
        </w:rPr>
        <w:t>年）；</w:t>
      </w:r>
    </w:p>
    <w:p w:rsidR="00297F67" w:rsidRDefault="00297F67" w:rsidP="00786449">
      <w:pPr>
        <w:ind w:firstLineChars="202" w:firstLine="424"/>
      </w:pPr>
      <w:r>
        <w:rPr>
          <w:rFonts w:hint="eastAsia"/>
        </w:rPr>
        <w:t>《中华人民共和国文物保护法》（</w:t>
      </w:r>
      <w:r>
        <w:t>2013</w:t>
      </w:r>
      <w:r>
        <w:rPr>
          <w:rFonts w:hint="eastAsia"/>
        </w:rPr>
        <w:t>年）；</w:t>
      </w:r>
    </w:p>
    <w:p w:rsidR="00297F67" w:rsidRDefault="00297F67" w:rsidP="00786449">
      <w:pPr>
        <w:ind w:firstLineChars="202" w:firstLine="424"/>
      </w:pPr>
      <w:r>
        <w:rPr>
          <w:rFonts w:hint="eastAsia"/>
        </w:rPr>
        <w:t>《城市用地分类与规划建设用地标准》（</w:t>
      </w:r>
      <w:r>
        <w:t>2012</w:t>
      </w:r>
      <w:r>
        <w:rPr>
          <w:rFonts w:hint="eastAsia"/>
        </w:rPr>
        <w:t>年）；</w:t>
      </w:r>
    </w:p>
    <w:p w:rsidR="00297F67" w:rsidRDefault="00297F67" w:rsidP="00786449">
      <w:pPr>
        <w:ind w:firstLineChars="202" w:firstLine="424"/>
      </w:pPr>
      <w:r>
        <w:rPr>
          <w:rFonts w:hint="eastAsia"/>
        </w:rPr>
        <w:t>《历史文化名城名镇名村保护条例》（</w:t>
      </w:r>
      <w:r>
        <w:t>2008</w:t>
      </w:r>
      <w:r>
        <w:rPr>
          <w:rFonts w:hint="eastAsia"/>
        </w:rPr>
        <w:t>年）；</w:t>
      </w:r>
    </w:p>
    <w:p w:rsidR="00297F67" w:rsidRDefault="00297F67" w:rsidP="00786449">
      <w:pPr>
        <w:ind w:firstLineChars="202" w:firstLine="424"/>
      </w:pPr>
      <w:r>
        <w:rPr>
          <w:rFonts w:hint="eastAsia"/>
        </w:rPr>
        <w:t>《中国文物古迹保护准则》（</w:t>
      </w:r>
      <w:r>
        <w:t>2004</w:t>
      </w:r>
      <w:r>
        <w:rPr>
          <w:rFonts w:hint="eastAsia"/>
        </w:rPr>
        <w:t>年）；</w:t>
      </w:r>
    </w:p>
    <w:p w:rsidR="00297F67" w:rsidRDefault="00297F67" w:rsidP="00786449">
      <w:pPr>
        <w:ind w:firstLineChars="202" w:firstLine="424"/>
      </w:pPr>
      <w:r>
        <w:rPr>
          <w:rFonts w:hint="eastAsia"/>
        </w:rPr>
        <w:t>《城市规划编制办法》（</w:t>
      </w:r>
      <w:r>
        <w:t xml:space="preserve">2006 </w:t>
      </w:r>
      <w:r>
        <w:rPr>
          <w:rFonts w:hint="eastAsia"/>
        </w:rPr>
        <w:t>年）；</w:t>
      </w:r>
    </w:p>
    <w:p w:rsidR="00297F67" w:rsidRDefault="00297F67" w:rsidP="00786449">
      <w:pPr>
        <w:ind w:firstLineChars="202" w:firstLine="424"/>
      </w:pPr>
      <w:r>
        <w:rPr>
          <w:rFonts w:hint="eastAsia"/>
        </w:rPr>
        <w:t>国家相关重要文件</w:t>
      </w:r>
    </w:p>
    <w:p w:rsidR="00297F67" w:rsidRDefault="00297F67" w:rsidP="00786449">
      <w:pPr>
        <w:ind w:firstLineChars="202" w:firstLine="424"/>
      </w:pPr>
      <w:r>
        <w:rPr>
          <w:rFonts w:hint="eastAsia"/>
        </w:rPr>
        <w:t>《全国文明城市（地级以上）测评体系》（</w:t>
      </w:r>
      <w:r>
        <w:t>2017</w:t>
      </w:r>
      <w:r>
        <w:rPr>
          <w:rFonts w:hint="eastAsia"/>
        </w:rPr>
        <w:t>年）；</w:t>
      </w:r>
    </w:p>
    <w:p w:rsidR="00297F67" w:rsidRDefault="00297F67" w:rsidP="00786449">
      <w:pPr>
        <w:ind w:firstLineChars="202" w:firstLine="424"/>
      </w:pPr>
      <w:r>
        <w:rPr>
          <w:rFonts w:hint="eastAsia"/>
        </w:rPr>
        <w:t>《国家卫生城市标准》（</w:t>
      </w:r>
      <w:r>
        <w:t>2014</w:t>
      </w:r>
      <w:r>
        <w:rPr>
          <w:rFonts w:hint="eastAsia"/>
        </w:rPr>
        <w:t>版）；</w:t>
      </w:r>
    </w:p>
    <w:p w:rsidR="00297F67" w:rsidRDefault="00297F67" w:rsidP="00786449">
      <w:pPr>
        <w:ind w:firstLineChars="202" w:firstLine="424"/>
      </w:pPr>
      <w:r>
        <w:rPr>
          <w:rFonts w:hint="eastAsia"/>
        </w:rPr>
        <w:t>《国家园林城市系列标准》（建城〔</w:t>
      </w:r>
      <w:r>
        <w:t>2016</w:t>
      </w:r>
      <w:r>
        <w:rPr>
          <w:rFonts w:hint="eastAsia"/>
        </w:rPr>
        <w:t>〕</w:t>
      </w:r>
      <w:r>
        <w:t>235</w:t>
      </w:r>
      <w:r>
        <w:rPr>
          <w:rFonts w:hint="eastAsia"/>
        </w:rPr>
        <w:t>号印发）；</w:t>
      </w:r>
    </w:p>
    <w:p w:rsidR="00297F67" w:rsidRDefault="00297F67" w:rsidP="00786449">
      <w:pPr>
        <w:ind w:firstLineChars="202" w:firstLine="424"/>
      </w:pPr>
      <w:r>
        <w:rPr>
          <w:rFonts w:hint="eastAsia"/>
        </w:rPr>
        <w:t>《全国城市生态保护与建设规划（</w:t>
      </w:r>
      <w:r>
        <w:t>2015—2020</w:t>
      </w:r>
      <w:r>
        <w:rPr>
          <w:rFonts w:hint="eastAsia"/>
        </w:rPr>
        <w:t>）》（建城〔</w:t>
      </w:r>
      <w:r>
        <w:t>2016</w:t>
      </w:r>
      <w:r>
        <w:rPr>
          <w:rFonts w:hint="eastAsia"/>
        </w:rPr>
        <w:t>〕</w:t>
      </w:r>
      <w:r>
        <w:t>284</w:t>
      </w:r>
      <w:r>
        <w:rPr>
          <w:rFonts w:hint="eastAsia"/>
        </w:rPr>
        <w:t>号印发）；</w:t>
      </w:r>
    </w:p>
    <w:p w:rsidR="00297F67" w:rsidRDefault="00297F67" w:rsidP="00786449">
      <w:pPr>
        <w:ind w:firstLineChars="202" w:firstLine="424"/>
      </w:pPr>
      <w:r>
        <w:rPr>
          <w:rFonts w:hint="eastAsia"/>
        </w:rPr>
        <w:t>省市相关材料</w:t>
      </w:r>
    </w:p>
    <w:p w:rsidR="00297F67" w:rsidRDefault="00297F67" w:rsidP="00786449">
      <w:pPr>
        <w:ind w:firstLineChars="202" w:firstLine="424"/>
      </w:pPr>
      <w:r>
        <w:rPr>
          <w:rFonts w:hint="eastAsia"/>
        </w:rPr>
        <w:t>《甘肃省华夏文明传承创新区总体方案》（甘发〔</w:t>
      </w:r>
      <w:r>
        <w:t>2013</w:t>
      </w:r>
      <w:r>
        <w:rPr>
          <w:rFonts w:hint="eastAsia"/>
        </w:rPr>
        <w:t>〕</w:t>
      </w:r>
      <w:r>
        <w:t>3</w:t>
      </w:r>
      <w:r>
        <w:rPr>
          <w:rFonts w:hint="eastAsia"/>
        </w:rPr>
        <w:t>号）；</w:t>
      </w:r>
    </w:p>
    <w:p w:rsidR="00297F67" w:rsidRDefault="00297F67" w:rsidP="00786449">
      <w:pPr>
        <w:ind w:firstLineChars="202" w:firstLine="424"/>
      </w:pPr>
      <w:r>
        <w:rPr>
          <w:rFonts w:hint="eastAsia"/>
        </w:rPr>
        <w:t>《关于推进华夏文明传承创新区的实施意见》（</w:t>
      </w:r>
      <w:r>
        <w:t>2013</w:t>
      </w:r>
      <w:r>
        <w:rPr>
          <w:rFonts w:hint="eastAsia"/>
        </w:rPr>
        <w:t>年）；</w:t>
      </w:r>
    </w:p>
    <w:p w:rsidR="00297F67" w:rsidRDefault="00297F67" w:rsidP="00786449">
      <w:pPr>
        <w:ind w:firstLineChars="202" w:firstLine="424"/>
      </w:pPr>
      <w:r>
        <w:rPr>
          <w:rFonts w:hint="eastAsia"/>
        </w:rPr>
        <w:t>《华夏文明传承创新区建设项目、活动、奖项对接工作指南》；</w:t>
      </w:r>
    </w:p>
    <w:p w:rsidR="00297F67" w:rsidRDefault="00297F67" w:rsidP="00786449">
      <w:pPr>
        <w:ind w:firstLineChars="202" w:firstLine="424"/>
      </w:pPr>
      <w:r>
        <w:rPr>
          <w:rFonts w:hint="eastAsia"/>
        </w:rPr>
        <w:t>《甘肃丝绸之路经济带大景区总体规划纲要》（</w:t>
      </w:r>
      <w:r>
        <w:t>2014</w:t>
      </w:r>
      <w:r>
        <w:rPr>
          <w:rFonts w:hint="eastAsia"/>
        </w:rPr>
        <w:t>年）；</w:t>
      </w:r>
    </w:p>
    <w:p w:rsidR="00297F67" w:rsidRDefault="00297F67" w:rsidP="00786449">
      <w:pPr>
        <w:ind w:firstLineChars="202" w:firstLine="424"/>
      </w:pPr>
      <w:r>
        <w:rPr>
          <w:rFonts w:hint="eastAsia"/>
        </w:rPr>
        <w:t>甘肃省住房和城乡建设厅关于加强全省村镇风貌特色规划和建设工作的通知（甘建村〔</w:t>
      </w:r>
      <w:r>
        <w:t>2012</w:t>
      </w:r>
      <w:r>
        <w:rPr>
          <w:rFonts w:hint="eastAsia"/>
        </w:rPr>
        <w:t>〕</w:t>
      </w:r>
      <w:r>
        <w:t>595</w:t>
      </w:r>
      <w:r>
        <w:rPr>
          <w:rFonts w:hint="eastAsia"/>
        </w:rPr>
        <w:t>号）；</w:t>
      </w:r>
    </w:p>
    <w:p w:rsidR="00297F67" w:rsidRDefault="00297F67" w:rsidP="00786449">
      <w:pPr>
        <w:ind w:firstLineChars="202" w:firstLine="424"/>
      </w:pPr>
      <w:r>
        <w:rPr>
          <w:rFonts w:hint="eastAsia"/>
        </w:rPr>
        <w:t>甘肃省人民政府办公厅关于印发《甘肃省编制城镇风貌规划指南》的通知（甘政办发〔</w:t>
      </w:r>
      <w:r>
        <w:t>2015</w:t>
      </w:r>
      <w:r>
        <w:rPr>
          <w:rFonts w:hint="eastAsia"/>
        </w:rPr>
        <w:t>〕</w:t>
      </w:r>
      <w:r>
        <w:t>135</w:t>
      </w:r>
      <w:r>
        <w:rPr>
          <w:rFonts w:hint="eastAsia"/>
        </w:rPr>
        <w:t>号）；</w:t>
      </w:r>
    </w:p>
    <w:p w:rsidR="00297F67" w:rsidRDefault="00297F67" w:rsidP="00786449">
      <w:pPr>
        <w:ind w:firstLineChars="202" w:firstLine="424"/>
      </w:pPr>
      <w:r>
        <w:rPr>
          <w:rFonts w:hint="eastAsia"/>
        </w:rPr>
        <w:t>《临夏回族自治州旅游业发展总体规划（</w:t>
      </w:r>
      <w:r>
        <w:t>2011-2025</w:t>
      </w:r>
      <w:r>
        <w:rPr>
          <w:rFonts w:hint="eastAsia"/>
        </w:rPr>
        <w:t>）》；</w:t>
      </w:r>
    </w:p>
    <w:p w:rsidR="00297F67" w:rsidRDefault="00297F67" w:rsidP="00786449">
      <w:pPr>
        <w:ind w:firstLineChars="202" w:firstLine="424"/>
      </w:pPr>
      <w:r>
        <w:rPr>
          <w:rFonts w:hint="eastAsia"/>
        </w:rPr>
        <w:t>《临夏市临夏县城市总体规划（</w:t>
      </w:r>
      <w:r>
        <w:t>2016-2030</w:t>
      </w:r>
      <w:r>
        <w:rPr>
          <w:rFonts w:hint="eastAsia"/>
        </w:rPr>
        <w:t>）》；</w:t>
      </w:r>
    </w:p>
    <w:p w:rsidR="00297F67" w:rsidRDefault="00297F67" w:rsidP="00786449">
      <w:pPr>
        <w:ind w:firstLineChars="202" w:firstLine="424"/>
      </w:pPr>
      <w:r>
        <w:rPr>
          <w:rFonts w:hint="eastAsia"/>
        </w:rPr>
        <w:t>《临夏市土地利用规划（</w:t>
      </w:r>
      <w:r>
        <w:t>2009-2020</w:t>
      </w:r>
      <w:r>
        <w:rPr>
          <w:rFonts w:hint="eastAsia"/>
        </w:rPr>
        <w:t>）》；</w:t>
      </w:r>
    </w:p>
    <w:p w:rsidR="00297F67" w:rsidRDefault="00297F67" w:rsidP="00786449">
      <w:pPr>
        <w:ind w:firstLineChars="202" w:firstLine="424"/>
      </w:pPr>
      <w:r>
        <w:rPr>
          <w:rFonts w:hint="eastAsia"/>
        </w:rPr>
        <w:t>《临夏市历史文化名城保护规划（</w:t>
      </w:r>
      <w:r>
        <w:t>2016-2030</w:t>
      </w:r>
      <w:r>
        <w:rPr>
          <w:rFonts w:hint="eastAsia"/>
        </w:rPr>
        <w:t>）》；</w:t>
      </w:r>
    </w:p>
    <w:p w:rsidR="00297F67" w:rsidRDefault="00297F67" w:rsidP="00786449">
      <w:pPr>
        <w:ind w:firstLineChars="202" w:firstLine="424"/>
      </w:pPr>
      <w:r>
        <w:rPr>
          <w:rFonts w:hint="eastAsia"/>
        </w:rPr>
        <w:t>《临夏回族自治州城镇风貌规划设计导引》；</w:t>
      </w:r>
    </w:p>
    <w:p w:rsidR="00297F67" w:rsidRDefault="00297F67" w:rsidP="00786449">
      <w:pPr>
        <w:ind w:firstLineChars="202" w:firstLine="424"/>
      </w:pPr>
      <w:r>
        <w:rPr>
          <w:rFonts w:hint="eastAsia"/>
        </w:rPr>
        <w:t>相关临夏市详细规划与局部城市设计。</w:t>
      </w:r>
    </w:p>
    <w:p w:rsidR="00297F67" w:rsidRPr="00CC3EC8" w:rsidRDefault="00297F67" w:rsidP="00CC3EC8">
      <w:pPr>
        <w:pStyle w:val="Heading1"/>
      </w:pPr>
      <w:r>
        <w:rPr>
          <w:rFonts w:hint="eastAsia"/>
        </w:rPr>
        <w:t>四</w:t>
      </w:r>
      <w:r w:rsidRPr="00696351">
        <w:rPr>
          <w:rFonts w:hint="eastAsia"/>
        </w:rPr>
        <w:t>、格局特色</w:t>
      </w:r>
    </w:p>
    <w:p w:rsidR="00297F67" w:rsidRDefault="00297F67" w:rsidP="008C6401">
      <w:pPr>
        <w:ind w:firstLineChars="202" w:firstLine="424"/>
      </w:pPr>
      <w:r w:rsidRPr="00D7239F">
        <w:rPr>
          <w:rFonts w:hint="eastAsia"/>
        </w:rPr>
        <w:t>三山环绕，一水中流</w:t>
      </w:r>
      <w:r>
        <w:rPr>
          <w:rFonts w:hint="eastAsia"/>
        </w:rPr>
        <w:t>；</w:t>
      </w:r>
      <w:r w:rsidRPr="00D7239F">
        <w:rPr>
          <w:rFonts w:hint="eastAsia"/>
        </w:rPr>
        <w:t>一城六区，一环串联</w:t>
      </w:r>
      <w:r>
        <w:rPr>
          <w:rFonts w:hint="eastAsia"/>
        </w:rPr>
        <w:t>；</w:t>
      </w:r>
      <w:r w:rsidRPr="00D7239F">
        <w:rPr>
          <w:rFonts w:hint="eastAsia"/>
        </w:rPr>
        <w:t>围园而建，围商而兴</w:t>
      </w:r>
    </w:p>
    <w:p w:rsidR="00297F67" w:rsidRDefault="00297F67" w:rsidP="00CC3EC8">
      <w:pPr>
        <w:pStyle w:val="Heading1"/>
      </w:pPr>
      <w:r>
        <w:rPr>
          <w:rFonts w:hint="eastAsia"/>
        </w:rPr>
        <w:t>五、规划目标</w:t>
      </w:r>
    </w:p>
    <w:p w:rsidR="00297F67" w:rsidRDefault="00297F67" w:rsidP="008C6401">
      <w:pPr>
        <w:ind w:firstLineChars="202" w:firstLine="424"/>
      </w:pPr>
      <w:r>
        <w:rPr>
          <w:rFonts w:hint="eastAsia"/>
        </w:rPr>
        <w:t>坚持“山水河州”的风貌主导思路，落实总体规划“山水古河州，多彩民俗城”的风貌定位，通过凸显多彩文化，完善山水格局，塑造城市特色空间；通过优化城市品质，加强风貌管控，打造城市精致空间，最终实现构建山水河州、民俗河州、品质河州、时代河州的城市新容。</w:t>
      </w:r>
    </w:p>
    <w:p w:rsidR="00297F67" w:rsidRPr="00CC3EC8" w:rsidRDefault="00297F67" w:rsidP="00CC3EC8">
      <w:pPr>
        <w:pStyle w:val="Heading1"/>
      </w:pPr>
      <w:r>
        <w:rPr>
          <w:rFonts w:hint="eastAsia"/>
        </w:rPr>
        <w:t>六</w:t>
      </w:r>
      <w:r w:rsidRPr="00696351">
        <w:rPr>
          <w:rFonts w:hint="eastAsia"/>
        </w:rPr>
        <w:t>、总体格局</w:t>
      </w:r>
    </w:p>
    <w:p w:rsidR="00297F67" w:rsidRDefault="00297F67" w:rsidP="00D7239F">
      <w:pPr>
        <w:ind w:firstLineChars="202" w:firstLine="424"/>
      </w:pPr>
      <w:r>
        <w:rPr>
          <w:rFonts w:hint="eastAsia"/>
        </w:rPr>
        <w:t>规划层面构建“秀美大夏、川水谷地；回乡风情、民族交融；丝路要道、茶马古镇；精致空间、复合绿道”的总体风貌形象，打造“两带三区、一环双心、三廊六区”的风貌结构。（图</w:t>
      </w:r>
      <w:r>
        <w:t>1-2</w:t>
      </w:r>
      <w:r>
        <w:rPr>
          <w:rFonts w:hint="eastAsia"/>
        </w:rPr>
        <w:t>）</w:t>
      </w:r>
    </w:p>
    <w:p w:rsidR="00297F67" w:rsidRDefault="00297F67" w:rsidP="00D7239F">
      <w:pPr>
        <w:ind w:firstLineChars="202" w:firstLine="424"/>
      </w:pPr>
    </w:p>
    <w:p w:rsidR="00297F67" w:rsidRDefault="00297F67" w:rsidP="00D57460">
      <w:pPr>
        <w:spacing w:before="240"/>
        <w:jc w:val="center"/>
      </w:pPr>
      <w:r w:rsidRPr="00D92F3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495.75pt;height:495.75pt;visibility:visible">
            <v:imagedata r:id="rId6" o:title=""/>
          </v:shape>
        </w:pict>
      </w:r>
    </w:p>
    <w:p w:rsidR="00297F67" w:rsidRDefault="00297F67" w:rsidP="00696351">
      <w:pPr>
        <w:spacing w:before="240"/>
        <w:ind w:firstLineChars="202" w:firstLine="424"/>
        <w:jc w:val="center"/>
      </w:pPr>
      <w:r>
        <w:rPr>
          <w:rFonts w:hint="eastAsia"/>
        </w:rPr>
        <w:t>图</w:t>
      </w:r>
      <w:r>
        <w:t xml:space="preserve">1  </w:t>
      </w:r>
      <w:r>
        <w:rPr>
          <w:rFonts w:hint="eastAsia"/>
        </w:rPr>
        <w:t>总体格局</w:t>
      </w:r>
    </w:p>
    <w:p w:rsidR="00297F67" w:rsidRDefault="00297F67" w:rsidP="00DA1295">
      <w:pPr>
        <w:spacing w:before="240"/>
      </w:pPr>
      <w:r w:rsidRPr="00D92F30">
        <w:rPr>
          <w:noProof/>
        </w:rPr>
        <w:pict>
          <v:shape id="图片 3" o:spid="_x0000_i1026" type="#_x0000_t75" style="width:426pt;height:318.75pt;visibility:visible">
            <v:imagedata r:id="rId7" o:title="" croptop="2423f" cropbottom="2215f" cropleft="2318f" cropright="3093f"/>
          </v:shape>
        </w:pict>
      </w:r>
    </w:p>
    <w:p w:rsidR="00297F67" w:rsidRDefault="00297F67" w:rsidP="00E159D4">
      <w:pPr>
        <w:ind w:firstLineChars="202" w:firstLine="424"/>
        <w:jc w:val="center"/>
      </w:pPr>
      <w:r>
        <w:rPr>
          <w:rFonts w:hint="eastAsia"/>
        </w:rPr>
        <w:t>图</w:t>
      </w:r>
      <w:r>
        <w:t xml:space="preserve">2  </w:t>
      </w:r>
      <w:r>
        <w:rPr>
          <w:rFonts w:hint="eastAsia"/>
        </w:rPr>
        <w:t>中心城区城市设计索引</w:t>
      </w:r>
    </w:p>
    <w:p w:rsidR="00297F67" w:rsidRPr="00CC3EC8" w:rsidRDefault="00297F67" w:rsidP="00CC3EC8">
      <w:pPr>
        <w:pStyle w:val="Heading1"/>
      </w:pPr>
      <w:r>
        <w:rPr>
          <w:rFonts w:hint="eastAsia"/>
        </w:rPr>
        <w:t>七、特色风貌规划</w:t>
      </w:r>
    </w:p>
    <w:p w:rsidR="00297F67" w:rsidRPr="00CC3EC8" w:rsidRDefault="00297F67" w:rsidP="00CC3EC8">
      <w:pPr>
        <w:pStyle w:val="Heading2"/>
      </w:pPr>
      <w:r w:rsidRPr="00CC3EC8">
        <w:rPr>
          <w:rFonts w:hint="eastAsia"/>
        </w:rPr>
        <w:t>（一）高度控制</w:t>
      </w:r>
    </w:p>
    <w:p w:rsidR="00297F67" w:rsidRDefault="00297F67" w:rsidP="00E159D4">
      <w:pPr>
        <w:ind w:firstLineChars="202" w:firstLine="424"/>
      </w:pPr>
      <w:r>
        <w:rPr>
          <w:rFonts w:hint="eastAsia"/>
        </w:rPr>
        <w:t>分</w:t>
      </w:r>
      <w:r>
        <w:t>5</w:t>
      </w:r>
      <w:r>
        <w:rPr>
          <w:rFonts w:hint="eastAsia"/>
        </w:rPr>
        <w:t>区进行控制</w:t>
      </w:r>
      <w:r>
        <w:t>.</w:t>
      </w:r>
      <w:r>
        <w:rPr>
          <w:rFonts w:hint="eastAsia"/>
        </w:rPr>
        <w:t>高度</w:t>
      </w:r>
      <w:r>
        <w:t>1</w:t>
      </w:r>
      <w:r>
        <w:rPr>
          <w:rFonts w:hint="eastAsia"/>
        </w:rPr>
        <w:t>区以</w:t>
      </w:r>
      <w:r>
        <w:t>100m</w:t>
      </w:r>
      <w:r>
        <w:rPr>
          <w:rFonts w:hint="eastAsia"/>
        </w:rPr>
        <w:t>以上超高层为主，高度</w:t>
      </w:r>
      <w:r>
        <w:t>2-5</w:t>
      </w:r>
      <w:r>
        <w:rPr>
          <w:rFonts w:hint="eastAsia"/>
        </w:rPr>
        <w:t>区的建筑高度原则上分别控制为</w:t>
      </w:r>
      <w:r>
        <w:t>75m-100m</w:t>
      </w:r>
      <w:r>
        <w:rPr>
          <w:rFonts w:hint="eastAsia"/>
        </w:rPr>
        <w:t>、</w:t>
      </w:r>
      <w:r>
        <w:t>50m-75m</w:t>
      </w:r>
      <w:r>
        <w:rPr>
          <w:rFonts w:hint="eastAsia"/>
        </w:rPr>
        <w:t>、</w:t>
      </w:r>
      <w:r>
        <w:t>24m-50m</w:t>
      </w:r>
      <w:r>
        <w:rPr>
          <w:rFonts w:hint="eastAsia"/>
        </w:rPr>
        <w:t>、</w:t>
      </w:r>
      <w:r>
        <w:t>24m</w:t>
      </w:r>
      <w:r>
        <w:rPr>
          <w:rFonts w:hint="eastAsia"/>
        </w:rPr>
        <w:t>以下。上述</w:t>
      </w:r>
      <w:r>
        <w:t>5</w:t>
      </w:r>
      <w:r>
        <w:rPr>
          <w:rFonts w:hint="eastAsia"/>
        </w:rPr>
        <w:t>类高度控制区外的生态地区建筑高度原则上按照高度</w:t>
      </w:r>
      <w:r>
        <w:t>5</w:t>
      </w:r>
      <w:r>
        <w:rPr>
          <w:rFonts w:hint="eastAsia"/>
        </w:rPr>
        <w:t>区控制（图</w:t>
      </w:r>
      <w:r>
        <w:t>3</w:t>
      </w:r>
      <w:r>
        <w:rPr>
          <w:rFonts w:hint="eastAsia"/>
        </w:rPr>
        <w:t>）。</w:t>
      </w:r>
    </w:p>
    <w:p w:rsidR="00297F67" w:rsidRPr="00CC3EC8" w:rsidRDefault="00297F67" w:rsidP="00CC3EC8">
      <w:pPr>
        <w:pStyle w:val="Heading2"/>
      </w:pPr>
      <w:r w:rsidRPr="0059705E">
        <w:rPr>
          <w:rFonts w:hint="eastAsia"/>
        </w:rPr>
        <w:t>（二）重要节点引导</w:t>
      </w:r>
    </w:p>
    <w:p w:rsidR="00297F67" w:rsidRDefault="00297F67" w:rsidP="00E159D4">
      <w:pPr>
        <w:ind w:firstLineChars="202" w:firstLine="424"/>
      </w:pPr>
      <w:r>
        <w:rPr>
          <w:rFonts w:hint="eastAsia"/>
        </w:rPr>
        <w:t>完善园林体系，对城市公园进行主题引导。对城市标志性建筑和标志性区域、城市步行街和门户节点、城市夜景进行统一引导（图</w:t>
      </w:r>
      <w:r>
        <w:t>4-6</w:t>
      </w:r>
      <w:r>
        <w:rPr>
          <w:rFonts w:hint="eastAsia"/>
        </w:rPr>
        <w:t>）。</w:t>
      </w:r>
    </w:p>
    <w:p w:rsidR="00297F67" w:rsidRPr="00CC3EC8" w:rsidRDefault="00297F67" w:rsidP="00CC3EC8">
      <w:pPr>
        <w:pStyle w:val="Heading2"/>
      </w:pPr>
      <w:r w:rsidRPr="0059705E">
        <w:rPr>
          <w:rFonts w:hint="eastAsia"/>
        </w:rPr>
        <w:t>（三）景观大道及绿道引导</w:t>
      </w:r>
    </w:p>
    <w:p w:rsidR="00297F67" w:rsidRDefault="00297F67" w:rsidP="00E159D4">
      <w:pPr>
        <w:ind w:firstLineChars="202" w:firstLine="424"/>
      </w:pPr>
      <w:r>
        <w:rPr>
          <w:rFonts w:hint="eastAsia"/>
        </w:rPr>
        <w:t>打造“三横三纵”六条景观大道，打造九条城市绿道（图</w:t>
      </w:r>
      <w:r>
        <w:t>7-8</w:t>
      </w:r>
      <w:r>
        <w:rPr>
          <w:rFonts w:hint="eastAsia"/>
        </w:rPr>
        <w:t>）。</w:t>
      </w:r>
    </w:p>
    <w:p w:rsidR="00297F67" w:rsidRPr="00CC3EC8" w:rsidRDefault="00297F67" w:rsidP="00CC3EC8">
      <w:pPr>
        <w:pStyle w:val="Heading2"/>
      </w:pPr>
      <w:r w:rsidRPr="0059705E">
        <w:rPr>
          <w:rFonts w:hint="eastAsia"/>
        </w:rPr>
        <w:t>（四）建筑风格及色彩引导：</w:t>
      </w:r>
    </w:p>
    <w:p w:rsidR="00297F67" w:rsidRPr="00CC3EC8" w:rsidRDefault="00297F67" w:rsidP="00CC3EC8">
      <w:pPr>
        <w:pStyle w:val="Heading3"/>
      </w:pPr>
      <w:r w:rsidRPr="00CC3EC8">
        <w:t>1</w:t>
      </w:r>
      <w:r w:rsidRPr="00CC3EC8">
        <w:rPr>
          <w:rFonts w:hint="eastAsia"/>
        </w:rPr>
        <w:t>、建筑风格引导</w:t>
      </w:r>
    </w:p>
    <w:p w:rsidR="00297F67" w:rsidRDefault="00297F67" w:rsidP="00FE37A7">
      <w:pPr>
        <w:ind w:firstLineChars="202" w:firstLine="424"/>
      </w:pPr>
      <w:r>
        <w:rPr>
          <w:rFonts w:hint="eastAsia"/>
        </w:rPr>
        <w:t>文化产业园片区：现代建筑风格搭配民族特色为主的建筑风格。</w:t>
      </w:r>
    </w:p>
    <w:p w:rsidR="00297F67" w:rsidRDefault="00297F67" w:rsidP="00FE37A7">
      <w:pPr>
        <w:ind w:firstLineChars="202" w:firstLine="424"/>
      </w:pPr>
      <w:r>
        <w:rPr>
          <w:rFonts w:hint="eastAsia"/>
        </w:rPr>
        <w:t>历史风貌区：以传统风格为主的建筑风格，局部点缀临夏特色木雕、砖雕等非物质文化要素。</w:t>
      </w:r>
    </w:p>
    <w:p w:rsidR="00297F67" w:rsidRDefault="00297F67" w:rsidP="00FE37A7">
      <w:pPr>
        <w:ind w:firstLineChars="202" w:firstLine="424"/>
      </w:pPr>
      <w:r>
        <w:rPr>
          <w:rFonts w:hint="eastAsia"/>
        </w:rPr>
        <w:t>新城风貌区：现代建筑风格为主，打造风格、色调统一的新城区。</w:t>
      </w:r>
    </w:p>
    <w:p w:rsidR="00297F67" w:rsidRDefault="00297F67" w:rsidP="00FE37A7">
      <w:pPr>
        <w:ind w:firstLineChars="202" w:firstLine="424"/>
      </w:pPr>
      <w:r>
        <w:rPr>
          <w:rFonts w:hint="eastAsia"/>
        </w:rPr>
        <w:t>大夏河南岸风貌区：现代风格为主，重点打造尺度宜人的现代滨水建筑风格。</w:t>
      </w:r>
    </w:p>
    <w:p w:rsidR="00297F67" w:rsidRPr="00FE37A7" w:rsidRDefault="00297F67" w:rsidP="00FE37A7">
      <w:pPr>
        <w:ind w:firstLineChars="202" w:firstLine="424"/>
      </w:pPr>
      <w:r w:rsidRPr="00FE37A7">
        <w:rPr>
          <w:rFonts w:hint="eastAsia"/>
        </w:rPr>
        <w:t>物流园风貌区</w:t>
      </w:r>
      <w:r>
        <w:rPr>
          <w:rFonts w:hint="eastAsia"/>
        </w:rPr>
        <w:t>：以现代化的标准手法做主导，融合民族元素做点缀。</w:t>
      </w:r>
    </w:p>
    <w:p w:rsidR="00297F67" w:rsidRDefault="00297F67" w:rsidP="00FE37A7">
      <w:pPr>
        <w:ind w:firstLineChars="202" w:firstLine="424"/>
      </w:pPr>
      <w:r>
        <w:rPr>
          <w:rFonts w:hint="eastAsia"/>
        </w:rPr>
        <w:t>枹罕城乡风貌区：临夏传统风格建筑为主的特色小镇风貌区。</w:t>
      </w:r>
    </w:p>
    <w:p w:rsidR="00297F67" w:rsidRPr="00CC3EC8" w:rsidRDefault="00297F67" w:rsidP="00CC3EC8">
      <w:pPr>
        <w:pStyle w:val="Heading3"/>
      </w:pPr>
      <w:r w:rsidRPr="0059705E">
        <w:t>2</w:t>
      </w:r>
      <w:r w:rsidRPr="0059705E">
        <w:rPr>
          <w:rFonts w:hint="eastAsia"/>
        </w:rPr>
        <w:t>、建筑装饰意像引导</w:t>
      </w:r>
    </w:p>
    <w:p w:rsidR="00297F67" w:rsidRDefault="00297F67" w:rsidP="00FE37A7">
      <w:pPr>
        <w:ind w:firstLineChars="202" w:firstLine="424"/>
      </w:pPr>
      <w:r>
        <w:rPr>
          <w:rFonts w:hint="eastAsia"/>
        </w:rPr>
        <w:t>建议将河州传统的卷棚屋顶作为主要建筑特色元素，将砖雕、木雕、河州平弦、雕葫芦、牡丹等运用到建筑装饰、建筑小品、特色雕塑等方面。</w:t>
      </w:r>
    </w:p>
    <w:p w:rsidR="00297F67" w:rsidRDefault="00297F67" w:rsidP="00080A9D">
      <w:pPr>
        <w:jc w:val="center"/>
      </w:pPr>
      <w:r w:rsidRPr="00D92F30">
        <w:rPr>
          <w:noProof/>
        </w:rPr>
        <w:pict>
          <v:shape id="图片 8" o:spid="_x0000_i1027" type="#_x0000_t75" alt="青石中式园林建筑模型40" style="width:354pt;height:186pt;visibility:visible">
            <v:imagedata r:id="rId8" o:title="" croptop="7791f" cropbottom="8426f" cropleft="3651f"/>
          </v:shape>
        </w:pict>
      </w:r>
      <w:r w:rsidRPr="00D92F30">
        <w:rPr>
          <w:noProof/>
        </w:rPr>
        <w:pict>
          <v:shape id="图片 11" o:spid="_x0000_i1028" type="#_x0000_t75" style="width:348pt;height:180.75pt;visibility:visible">
            <v:imagedata r:id="rId9" o:title=""/>
          </v:shape>
        </w:pict>
      </w:r>
    </w:p>
    <w:p w:rsidR="00297F67" w:rsidRPr="00CC3EC8" w:rsidRDefault="00297F67" w:rsidP="00CC3EC8">
      <w:pPr>
        <w:pStyle w:val="Heading3"/>
      </w:pPr>
      <w:r w:rsidRPr="0059705E">
        <w:t>3</w:t>
      </w:r>
      <w:r w:rsidRPr="0059705E">
        <w:rPr>
          <w:rFonts w:hint="eastAsia"/>
        </w:rPr>
        <w:t>、建筑色彩引导</w:t>
      </w:r>
    </w:p>
    <w:p w:rsidR="00297F67" w:rsidRPr="00FE37A7" w:rsidRDefault="00297F67" w:rsidP="00D51ACF">
      <w:pPr>
        <w:ind w:firstLineChars="202" w:firstLine="424"/>
      </w:pPr>
      <w:r>
        <w:rPr>
          <w:rFonts w:hint="eastAsia"/>
        </w:rPr>
        <w:t>全市建筑色彩以暖色调为主。历史风貌区在现状基础上采用中、低明度灰色系作为主色调。城市其他区域建筑颜色以棕色、米色、白色等为主色调。通过城市色彩整治，逐步解决个别建筑颜色太过突兀、建筑色彩太过单调、风格造型太过显眼、外立面形式太过单调的问题（图</w:t>
      </w:r>
      <w:r>
        <w:t>9</w:t>
      </w:r>
      <w:r>
        <w:rPr>
          <w:rFonts w:hint="eastAsia"/>
        </w:rPr>
        <w:t>）。</w:t>
      </w:r>
    </w:p>
    <w:p w:rsidR="00297F67" w:rsidRDefault="00297F67" w:rsidP="00E159D4">
      <w:r w:rsidRPr="00D92F30">
        <w:rPr>
          <w:noProof/>
        </w:rPr>
        <w:pict>
          <v:shape id="图片 4" o:spid="_x0000_i1029" type="#_x0000_t75" style="width:428.25pt;height:318pt;visibility:visible">
            <v:imagedata r:id="rId10" o:title="" croptop="2421f" cropbottom="2290f" cropleft="3147f" cropright="4322f"/>
          </v:shape>
        </w:pict>
      </w:r>
    </w:p>
    <w:p w:rsidR="00297F67" w:rsidRDefault="00297F67" w:rsidP="009C245F">
      <w:pPr>
        <w:jc w:val="center"/>
      </w:pPr>
      <w:r>
        <w:rPr>
          <w:rFonts w:hint="eastAsia"/>
        </w:rPr>
        <w:t>图</w:t>
      </w:r>
      <w:r>
        <w:t xml:space="preserve">3  </w:t>
      </w:r>
      <w:r>
        <w:rPr>
          <w:rFonts w:hint="eastAsia"/>
        </w:rPr>
        <w:t>中心城区高度分区控制图</w:t>
      </w:r>
    </w:p>
    <w:p w:rsidR="00297F67" w:rsidRDefault="00297F67" w:rsidP="009C245F">
      <w:pPr>
        <w:jc w:val="center"/>
        <w:rPr>
          <w:noProof/>
        </w:rPr>
      </w:pPr>
      <w:r w:rsidRPr="00D92F30">
        <w:rPr>
          <w:noProof/>
        </w:rPr>
        <w:pict>
          <v:shape id="图片 1" o:spid="_x0000_i1030" type="#_x0000_t75" style="width:414pt;height:306pt;visibility:visible">
            <v:imagedata r:id="rId11" o:title=""/>
          </v:shape>
        </w:pict>
      </w:r>
    </w:p>
    <w:p w:rsidR="00297F67" w:rsidRPr="002349A0" w:rsidRDefault="00297F67" w:rsidP="009C245F">
      <w:pPr>
        <w:jc w:val="center"/>
        <w:rPr>
          <w:noProof/>
        </w:rPr>
      </w:pPr>
      <w:r>
        <w:rPr>
          <w:rFonts w:hint="eastAsia"/>
        </w:rPr>
        <w:t>图</w:t>
      </w:r>
      <w:r>
        <w:t xml:space="preserve">4  </w:t>
      </w:r>
      <w:r>
        <w:rPr>
          <w:rFonts w:hint="eastAsia"/>
        </w:rPr>
        <w:t>中心城区公园体系引导图</w:t>
      </w:r>
    </w:p>
    <w:p w:rsidR="00297F67" w:rsidRDefault="00297F67" w:rsidP="009C245F">
      <w:pPr>
        <w:jc w:val="center"/>
        <w:rPr>
          <w:noProof/>
        </w:rPr>
      </w:pPr>
      <w:r w:rsidRPr="00D92F30">
        <w:rPr>
          <w:noProof/>
        </w:rPr>
        <w:pict>
          <v:shape id="图片 5" o:spid="_x0000_i1031" type="#_x0000_t75" style="width:414pt;height:306pt;visibility:visible">
            <v:imagedata r:id="rId12" o:title=""/>
          </v:shape>
        </w:pict>
      </w:r>
    </w:p>
    <w:p w:rsidR="00297F67" w:rsidRDefault="00297F67" w:rsidP="002349A0">
      <w:pPr>
        <w:jc w:val="center"/>
      </w:pPr>
      <w:r>
        <w:rPr>
          <w:rFonts w:hint="eastAsia"/>
        </w:rPr>
        <w:t>图</w:t>
      </w:r>
      <w:r>
        <w:t xml:space="preserve">5  </w:t>
      </w:r>
      <w:r>
        <w:rPr>
          <w:rFonts w:hint="eastAsia"/>
        </w:rPr>
        <w:t>中心城区门户节点及城市雕塑引导图</w:t>
      </w:r>
    </w:p>
    <w:p w:rsidR="00297F67" w:rsidRPr="002349A0" w:rsidRDefault="00297F67" w:rsidP="009C245F">
      <w:pPr>
        <w:jc w:val="center"/>
        <w:rPr>
          <w:noProof/>
        </w:rPr>
      </w:pPr>
    </w:p>
    <w:p w:rsidR="00297F67" w:rsidRDefault="00297F67" w:rsidP="009C245F">
      <w:pPr>
        <w:jc w:val="center"/>
        <w:rPr>
          <w:noProof/>
        </w:rPr>
      </w:pPr>
      <w:r w:rsidRPr="00D92F30">
        <w:rPr>
          <w:noProof/>
        </w:rPr>
        <w:pict>
          <v:shape id="图片 10" o:spid="_x0000_i1032" type="#_x0000_t75" style="width:414.75pt;height:306pt;visibility:visible">
            <v:imagedata r:id="rId13" o:title=""/>
          </v:shape>
        </w:pict>
      </w:r>
    </w:p>
    <w:p w:rsidR="00297F67" w:rsidRPr="002349A0" w:rsidRDefault="00297F67" w:rsidP="009C245F">
      <w:pPr>
        <w:jc w:val="center"/>
        <w:rPr>
          <w:noProof/>
        </w:rPr>
      </w:pPr>
      <w:r>
        <w:rPr>
          <w:rFonts w:hint="eastAsia"/>
        </w:rPr>
        <w:t>图</w:t>
      </w:r>
      <w:r>
        <w:t xml:space="preserve">6  </w:t>
      </w:r>
      <w:r>
        <w:rPr>
          <w:rFonts w:hint="eastAsia"/>
        </w:rPr>
        <w:t>中心城区标志性区域引导图</w:t>
      </w:r>
    </w:p>
    <w:p w:rsidR="00297F67" w:rsidRDefault="00297F67" w:rsidP="009C245F">
      <w:pPr>
        <w:jc w:val="center"/>
        <w:rPr>
          <w:noProof/>
        </w:rPr>
      </w:pPr>
      <w:r w:rsidRPr="00D92F30">
        <w:rPr>
          <w:noProof/>
        </w:rPr>
        <w:pict>
          <v:shape id="图片 6" o:spid="_x0000_i1033" type="#_x0000_t75" style="width:414.75pt;height:305.25pt;visibility:visible">
            <v:imagedata r:id="rId14" o:title=""/>
          </v:shape>
        </w:pict>
      </w:r>
    </w:p>
    <w:p w:rsidR="00297F67" w:rsidRDefault="00297F67" w:rsidP="002349A0">
      <w:pPr>
        <w:jc w:val="center"/>
      </w:pPr>
      <w:r>
        <w:rPr>
          <w:rFonts w:hint="eastAsia"/>
        </w:rPr>
        <w:t>图</w:t>
      </w:r>
      <w:r>
        <w:t xml:space="preserve">7  </w:t>
      </w:r>
      <w:r>
        <w:rPr>
          <w:rFonts w:hint="eastAsia"/>
        </w:rPr>
        <w:t>中心城区景观大道引导图</w:t>
      </w:r>
    </w:p>
    <w:p w:rsidR="00297F67" w:rsidRPr="002349A0" w:rsidRDefault="00297F67" w:rsidP="009C245F">
      <w:pPr>
        <w:jc w:val="center"/>
        <w:rPr>
          <w:noProof/>
        </w:rPr>
      </w:pPr>
    </w:p>
    <w:p w:rsidR="00297F67" w:rsidRDefault="00297F67" w:rsidP="009C245F">
      <w:pPr>
        <w:jc w:val="center"/>
        <w:rPr>
          <w:noProof/>
        </w:rPr>
      </w:pPr>
      <w:r w:rsidRPr="00D92F30">
        <w:rPr>
          <w:noProof/>
        </w:rPr>
        <w:pict>
          <v:shape id="图片 7" o:spid="_x0000_i1034" type="#_x0000_t75" style="width:413.25pt;height:302.25pt;visibility:visible">
            <v:imagedata r:id="rId15" o:title="" croptop="2831f" cropbottom="2191f" cropleft="2915f" cropright="4090f"/>
          </v:shape>
        </w:pict>
      </w:r>
    </w:p>
    <w:p w:rsidR="00297F67" w:rsidRDefault="00297F67" w:rsidP="009C245F">
      <w:pPr>
        <w:jc w:val="center"/>
        <w:rPr>
          <w:noProof/>
        </w:rPr>
      </w:pPr>
      <w:r>
        <w:rPr>
          <w:rFonts w:hint="eastAsia"/>
        </w:rPr>
        <w:t>图</w:t>
      </w:r>
      <w:r>
        <w:t xml:space="preserve">8  </w:t>
      </w:r>
      <w:r>
        <w:rPr>
          <w:rFonts w:hint="eastAsia"/>
        </w:rPr>
        <w:t>中心城区绿道建设引导图</w:t>
      </w:r>
      <w:r w:rsidRPr="00D92F30">
        <w:rPr>
          <w:noProof/>
        </w:rPr>
        <w:pict>
          <v:shape id="图片 9" o:spid="_x0000_i1035" type="#_x0000_t75" style="width:414.75pt;height:306pt;visibility:visible">
            <v:imagedata r:id="rId16" o:title=""/>
          </v:shape>
        </w:pict>
      </w:r>
    </w:p>
    <w:p w:rsidR="00297F67" w:rsidRDefault="00297F67" w:rsidP="002349A0">
      <w:pPr>
        <w:jc w:val="center"/>
      </w:pPr>
      <w:r>
        <w:rPr>
          <w:rFonts w:hint="eastAsia"/>
        </w:rPr>
        <w:t>图</w:t>
      </w:r>
      <w:r>
        <w:t xml:space="preserve">9  </w:t>
      </w:r>
      <w:r>
        <w:rPr>
          <w:rFonts w:hint="eastAsia"/>
        </w:rPr>
        <w:t>中心城区建筑色彩引导图</w:t>
      </w:r>
    </w:p>
    <w:p w:rsidR="00297F67" w:rsidRPr="00CC3EC8" w:rsidRDefault="00297F67" w:rsidP="00CC3EC8">
      <w:pPr>
        <w:pStyle w:val="Heading1"/>
      </w:pPr>
      <w:r>
        <w:rPr>
          <w:rFonts w:hint="eastAsia"/>
        </w:rPr>
        <w:t>八</w:t>
      </w:r>
      <w:r w:rsidRPr="00CC3EC8">
        <w:rPr>
          <w:rFonts w:hint="eastAsia"/>
        </w:rPr>
        <w:t>、建筑风貌引导主要控制要求</w:t>
      </w:r>
    </w:p>
    <w:p w:rsidR="00297F67" w:rsidRPr="00CC3EC8" w:rsidRDefault="00297F67" w:rsidP="00CC3EC8">
      <w:pPr>
        <w:pStyle w:val="Heading2"/>
      </w:pPr>
      <w:r w:rsidRPr="00CC3EC8">
        <w:rPr>
          <w:rFonts w:hint="eastAsia"/>
        </w:rPr>
        <w:t>（一）建筑高度与体量引导</w:t>
      </w:r>
    </w:p>
    <w:p w:rsidR="00297F67" w:rsidRPr="00703125" w:rsidRDefault="00297F67" w:rsidP="00CC3EC8">
      <w:pPr>
        <w:pStyle w:val="Heading3"/>
      </w:pPr>
      <w:r w:rsidRPr="00CC3EC8">
        <w:t>1</w:t>
      </w:r>
      <w:r w:rsidRPr="00CC3EC8">
        <w:rPr>
          <w:rFonts w:hint="eastAsia"/>
        </w:rPr>
        <w:t>、高度与体量</w:t>
      </w:r>
    </w:p>
    <w:p w:rsidR="00297F67" w:rsidRPr="00703125" w:rsidRDefault="00297F67" w:rsidP="00703125">
      <w:pPr>
        <w:ind w:firstLineChars="202" w:firstLine="424"/>
      </w:pPr>
      <w:r w:rsidRPr="00703125">
        <w:rPr>
          <w:rFonts w:hint="eastAsia"/>
        </w:rPr>
        <w:t>（</w:t>
      </w:r>
      <w:r w:rsidRPr="00703125">
        <w:t>1</w:t>
      </w:r>
      <w:r w:rsidRPr="00703125">
        <w:rPr>
          <w:rFonts w:hint="eastAsia"/>
        </w:rPr>
        <w:t>）整体高度</w:t>
      </w:r>
      <w:r w:rsidRPr="00703125">
        <w:t>——</w:t>
      </w:r>
      <w:r w:rsidRPr="00703125">
        <w:rPr>
          <w:rFonts w:hint="eastAsia"/>
        </w:rPr>
        <w:t>历史城区居住建筑以多层为主，其他区域新建居住建筑以小高层为主，局部以高层点缀，塑造高层建筑中心区集聚，建筑高低搭配、错落有致的建筑外空间整体形象。</w:t>
      </w:r>
    </w:p>
    <w:p w:rsidR="00297F67" w:rsidRPr="00703125" w:rsidRDefault="00297F67" w:rsidP="00703125">
      <w:pPr>
        <w:ind w:firstLineChars="202" w:firstLine="424"/>
      </w:pPr>
      <w:r w:rsidRPr="00703125">
        <w:rPr>
          <w:rFonts w:hint="eastAsia"/>
        </w:rPr>
        <w:t>（</w:t>
      </w:r>
      <w:r w:rsidRPr="00703125">
        <w:t>2</w:t>
      </w:r>
      <w:r w:rsidRPr="00703125">
        <w:rPr>
          <w:rFonts w:hint="eastAsia"/>
        </w:rPr>
        <w:t>）建筑单体比例</w:t>
      </w:r>
      <w:r w:rsidRPr="00703125">
        <w:t>——</w:t>
      </w:r>
      <w:r w:rsidRPr="00703125">
        <w:rPr>
          <w:rFonts w:hint="eastAsia"/>
        </w:rPr>
        <w:t>单体建筑体量应保持长宽高良好比例，避免出现庞大、横长或者矮胖的形体。其长度不宜超过</w:t>
      </w:r>
      <w:r>
        <w:t>50</w:t>
      </w:r>
      <w:r w:rsidRPr="00703125">
        <w:rPr>
          <w:rFonts w:hint="eastAsia"/>
        </w:rPr>
        <w:t>米，保证良好的街道景观和通畅的景观视线走廊。</w:t>
      </w:r>
    </w:p>
    <w:p w:rsidR="00297F67" w:rsidRPr="00703125" w:rsidRDefault="00297F67" w:rsidP="00703125">
      <w:pPr>
        <w:ind w:firstLineChars="202" w:firstLine="424"/>
      </w:pPr>
      <w:r w:rsidRPr="00703125">
        <w:rPr>
          <w:rFonts w:hint="eastAsia"/>
        </w:rPr>
        <w:t>（</w:t>
      </w:r>
      <w:r w:rsidRPr="00703125">
        <w:t>3</w:t>
      </w:r>
      <w:r w:rsidRPr="00703125">
        <w:rPr>
          <w:rFonts w:hint="eastAsia"/>
        </w:rPr>
        <w:t>）建筑形式</w:t>
      </w:r>
      <w:r w:rsidRPr="00703125">
        <w:t>——</w:t>
      </w:r>
      <w:r w:rsidRPr="00703125">
        <w:rPr>
          <w:rFonts w:hint="eastAsia"/>
        </w:rPr>
        <w:t>群体建筑宜采用“裙房</w:t>
      </w:r>
      <w:r>
        <w:t>+</w:t>
      </w:r>
      <w:r w:rsidRPr="00703125">
        <w:rPr>
          <w:rFonts w:hint="eastAsia"/>
        </w:rPr>
        <w:t>塔楼”、“点板结合”的搭配方式，创造围合的空间形态。</w:t>
      </w:r>
    </w:p>
    <w:p w:rsidR="00297F67" w:rsidRDefault="00297F67" w:rsidP="00703125">
      <w:pPr>
        <w:ind w:firstLineChars="202" w:firstLine="424"/>
      </w:pPr>
      <w:r w:rsidRPr="00703125">
        <w:rPr>
          <w:rFonts w:hint="eastAsia"/>
        </w:rPr>
        <w:t>（</w:t>
      </w:r>
      <w:r w:rsidRPr="00703125">
        <w:t>4</w:t>
      </w:r>
      <w:r w:rsidRPr="00703125">
        <w:rPr>
          <w:rFonts w:hint="eastAsia"/>
        </w:rPr>
        <w:t>）重点地段</w:t>
      </w:r>
      <w:r w:rsidRPr="00703125">
        <w:t>——</w:t>
      </w:r>
      <w:r w:rsidRPr="00703125">
        <w:rPr>
          <w:rFonts w:hint="eastAsia"/>
        </w:rPr>
        <w:t>南北滨河路、前河沿路、火车站站前区、天元附近等地段的商务建筑建议采用：“裙房</w:t>
      </w:r>
      <w:r>
        <w:t>+</w:t>
      </w:r>
      <w:r w:rsidRPr="00703125">
        <w:rPr>
          <w:rFonts w:hint="eastAsia"/>
        </w:rPr>
        <w:t>塔楼”的搭配方式，底层裙房注意细部设计，注意建筑界面的连续性，但其连续面不宜超过</w:t>
      </w:r>
      <w:r>
        <w:t>150</w:t>
      </w:r>
      <w:r w:rsidRPr="00703125">
        <w:rPr>
          <w:rFonts w:hint="eastAsia"/>
        </w:rPr>
        <w:t>米。超过</w:t>
      </w:r>
      <w:r>
        <w:t>150</w:t>
      </w:r>
      <w:r w:rsidRPr="00703125">
        <w:rPr>
          <w:rFonts w:hint="eastAsia"/>
        </w:rPr>
        <w:t>米时应设不小于</w:t>
      </w:r>
      <w:r w:rsidRPr="00703125">
        <w:t xml:space="preserve"> 4m*4m </w:t>
      </w:r>
      <w:r w:rsidRPr="00703125">
        <w:rPr>
          <w:rFonts w:hint="eastAsia"/>
        </w:rPr>
        <w:t>的消防通道。塔楼应与裙房和顶部协调，其后退裙房应以设计图则为依据，避免高层建筑紧压街道形成的空间压抑感。</w:t>
      </w:r>
    </w:p>
    <w:p w:rsidR="00297F67" w:rsidRPr="00CC3EC8" w:rsidRDefault="00297F67" w:rsidP="00CC3EC8">
      <w:pPr>
        <w:pStyle w:val="Heading3"/>
      </w:pPr>
      <w:r w:rsidRPr="00CC3EC8">
        <w:t>2</w:t>
      </w:r>
      <w:r w:rsidRPr="00CC3EC8">
        <w:rPr>
          <w:rFonts w:hint="eastAsia"/>
        </w:rPr>
        <w:t>、沿街建筑</w:t>
      </w:r>
    </w:p>
    <w:p w:rsidR="00297F67" w:rsidRDefault="00297F67" w:rsidP="00703125">
      <w:pPr>
        <w:ind w:firstLineChars="202" w:firstLine="424"/>
      </w:pPr>
      <w:r w:rsidRPr="00703125">
        <w:rPr>
          <w:rFonts w:hint="eastAsia"/>
        </w:rPr>
        <w:t>东西向道路（南北滨河路、前河沿路、环城北路等）容易形成连续的街景，应注重街道界面的丰富性和韵律感，两侧建筑应按照相关规定要求退后红线，其高度与体量建议采用</w:t>
      </w:r>
      <w:r w:rsidRPr="00703125">
        <w:t xml:space="preserve"> D:H</w:t>
      </w:r>
      <w:r w:rsidRPr="00703125">
        <w:rPr>
          <w:rFonts w:hint="eastAsia"/>
        </w:rPr>
        <w:t>（道路宽度与建筑高度之比）</w:t>
      </w:r>
      <w:r w:rsidRPr="00703125">
        <w:t>1:1.5</w:t>
      </w:r>
      <w:r w:rsidRPr="00703125">
        <w:rPr>
          <w:rFonts w:hint="eastAsia"/>
        </w:rPr>
        <w:t>；建筑面宽连接长度不宜超过</w:t>
      </w:r>
      <w:r w:rsidRPr="00703125">
        <w:t xml:space="preserve"> 80 </w:t>
      </w:r>
      <w:r w:rsidRPr="00703125">
        <w:rPr>
          <w:rFonts w:hint="eastAsia"/>
        </w:rPr>
        <w:t>米。南北向道路（团结路、解放路、环西三路、和政路等）强调建筑的围合以及与街道的对话，应通过设置沿街建筑底商、丰富的建筑山墙或特色的绿化景观来保持街景的连续和美观。</w:t>
      </w:r>
    </w:p>
    <w:p w:rsidR="00297F67" w:rsidRPr="00CC3EC8" w:rsidRDefault="00297F67" w:rsidP="00CC3EC8">
      <w:pPr>
        <w:pStyle w:val="Heading3"/>
      </w:pPr>
      <w:r w:rsidRPr="00CC3EC8">
        <w:t>3</w:t>
      </w:r>
      <w:r w:rsidRPr="00CC3EC8">
        <w:rPr>
          <w:rFonts w:hint="eastAsia"/>
        </w:rPr>
        <w:t>、滨水建筑</w:t>
      </w:r>
    </w:p>
    <w:p w:rsidR="00297F67" w:rsidRPr="00703125" w:rsidRDefault="00297F67" w:rsidP="00703125">
      <w:pPr>
        <w:ind w:firstLineChars="202" w:firstLine="424"/>
      </w:pPr>
      <w:r w:rsidRPr="00703125">
        <w:rPr>
          <w:rFonts w:hint="eastAsia"/>
        </w:rPr>
        <w:t>（</w:t>
      </w:r>
      <w:r w:rsidRPr="00703125">
        <w:t>1</w:t>
      </w:r>
      <w:r w:rsidRPr="00703125">
        <w:rPr>
          <w:rFonts w:hint="eastAsia"/>
        </w:rPr>
        <w:t>）滨水建筑宜采用“前疏后密、疏密有致”的做法，同时保持连续的界面，形成完整的滨水景观空间。</w:t>
      </w:r>
    </w:p>
    <w:p w:rsidR="00297F67" w:rsidRPr="00703125" w:rsidRDefault="00297F67" w:rsidP="00703125">
      <w:pPr>
        <w:ind w:firstLineChars="202" w:firstLine="424"/>
      </w:pPr>
      <w:r w:rsidRPr="00703125">
        <w:rPr>
          <w:rFonts w:hint="eastAsia"/>
        </w:rPr>
        <w:t>（</w:t>
      </w:r>
      <w:r w:rsidRPr="00703125">
        <w:t>2</w:t>
      </w:r>
      <w:r w:rsidRPr="00703125">
        <w:rPr>
          <w:rFonts w:hint="eastAsia"/>
        </w:rPr>
        <w:t>）滨水建筑可采用间口率控制方法，即：间口率</w:t>
      </w:r>
      <w:r>
        <w:t>=</w:t>
      </w:r>
      <w:r w:rsidRPr="00703125">
        <w:rPr>
          <w:rFonts w:hint="eastAsia"/>
        </w:rPr>
        <w:t>建筑面宽</w:t>
      </w:r>
      <w:r>
        <w:t>(A)/</w:t>
      </w:r>
      <w:r w:rsidRPr="00703125">
        <w:rPr>
          <w:rFonts w:hint="eastAsia"/>
        </w:rPr>
        <w:t>基地面宽</w:t>
      </w:r>
      <w:r w:rsidRPr="00703125">
        <w:t>&lt;7/10</w:t>
      </w:r>
      <w:r w:rsidRPr="00703125">
        <w:rPr>
          <w:rFonts w:hint="eastAsia"/>
        </w:rPr>
        <w:t>，以保证滨水景观的通透性和层次感。</w:t>
      </w:r>
    </w:p>
    <w:p w:rsidR="00297F67" w:rsidRPr="00703125" w:rsidRDefault="00297F67" w:rsidP="00703125">
      <w:pPr>
        <w:ind w:firstLineChars="202" w:firstLine="424"/>
      </w:pPr>
      <w:r w:rsidRPr="00703125">
        <w:rPr>
          <w:rFonts w:hint="eastAsia"/>
        </w:rPr>
        <w:t>（</w:t>
      </w:r>
      <w:r w:rsidRPr="00703125">
        <w:t>3</w:t>
      </w:r>
      <w:r w:rsidRPr="00703125">
        <w:rPr>
          <w:rFonts w:hint="eastAsia"/>
        </w:rPr>
        <w:t>）滨水大体量的公共建筑建议控制在</w:t>
      </w:r>
      <w:r>
        <w:t>5</w:t>
      </w:r>
      <w:r w:rsidRPr="00703125">
        <w:rPr>
          <w:rFonts w:hint="eastAsia"/>
        </w:rPr>
        <w:t>层以下，形成良好的视觉效果。</w:t>
      </w:r>
    </w:p>
    <w:p w:rsidR="00297F67" w:rsidRPr="00703125" w:rsidRDefault="00297F67" w:rsidP="00703125">
      <w:pPr>
        <w:ind w:firstLineChars="202" w:firstLine="424"/>
      </w:pPr>
      <w:r w:rsidRPr="00703125">
        <w:rPr>
          <w:rFonts w:hint="eastAsia"/>
        </w:rPr>
        <w:t>（</w:t>
      </w:r>
      <w:r w:rsidRPr="00703125">
        <w:t>4</w:t>
      </w:r>
      <w:r w:rsidRPr="00703125">
        <w:rPr>
          <w:rFonts w:hint="eastAsia"/>
        </w:rPr>
        <w:t>）垂直水体方向的建筑建议采用退台式设计手法，近水岸地区为低层或多层建筑，随着建筑位置后退，高度逐渐增加，保证通向水面的视线不受阻隔，营造丰富的景观层次。</w:t>
      </w:r>
    </w:p>
    <w:p w:rsidR="00297F67" w:rsidRDefault="00297F67" w:rsidP="00703125">
      <w:pPr>
        <w:ind w:firstLineChars="202" w:firstLine="424"/>
      </w:pPr>
      <w:r w:rsidRPr="00703125">
        <w:rPr>
          <w:rFonts w:hint="eastAsia"/>
        </w:rPr>
        <w:t>（</w:t>
      </w:r>
      <w:r w:rsidRPr="00703125">
        <w:t>5</w:t>
      </w:r>
      <w:r w:rsidRPr="00703125">
        <w:rPr>
          <w:rFonts w:hint="eastAsia"/>
        </w:rPr>
        <w:t>）平行水体方向的建筑不宜采用大面宽的形体，高层建筑建议采用“点板结合”（点式塔楼</w:t>
      </w:r>
      <w:r w:rsidRPr="00703125">
        <w:t xml:space="preserve"> +</w:t>
      </w:r>
      <w:r w:rsidRPr="00703125">
        <w:rPr>
          <w:rFonts w:hint="eastAsia"/>
        </w:rPr>
        <w:t>垂直水体方向布置的板式建筑）或丰富体量变化，以突出视线通透性和界面丰富性。</w:t>
      </w:r>
    </w:p>
    <w:p w:rsidR="00297F67" w:rsidRDefault="00297F67" w:rsidP="00F9339A">
      <w:r w:rsidRPr="00D92F30">
        <w:rPr>
          <w:noProof/>
        </w:rPr>
        <w:pict>
          <v:shape id="Picture 4" o:spid="_x0000_i1036" type="#_x0000_t75" style="width:415.5pt;height:159.75pt;visibility:visible">
            <v:imagedata r:id="rId17" o:title=""/>
          </v:shape>
        </w:pict>
      </w:r>
    </w:p>
    <w:p w:rsidR="00297F67" w:rsidRPr="00CC3EC8" w:rsidRDefault="00297F67" w:rsidP="00CC3EC8">
      <w:pPr>
        <w:pStyle w:val="Heading2"/>
      </w:pPr>
      <w:r w:rsidRPr="00CC3EC8">
        <w:rPr>
          <w:rFonts w:hint="eastAsia"/>
        </w:rPr>
        <w:t>（二）建筑高度与体量引导</w:t>
      </w:r>
    </w:p>
    <w:p w:rsidR="00297F67" w:rsidRPr="00703125" w:rsidRDefault="00297F67" w:rsidP="00CC3EC8">
      <w:pPr>
        <w:pStyle w:val="Heading3"/>
      </w:pPr>
      <w:r w:rsidRPr="00CC3EC8">
        <w:t>1</w:t>
      </w:r>
      <w:r w:rsidRPr="00CC3EC8">
        <w:rPr>
          <w:rFonts w:hint="eastAsia"/>
        </w:rPr>
        <w:t>、建筑界面</w:t>
      </w:r>
    </w:p>
    <w:p w:rsidR="00297F67" w:rsidRPr="00F9339A" w:rsidRDefault="00297F67" w:rsidP="00F9339A">
      <w:pPr>
        <w:ind w:firstLineChars="202" w:firstLine="424"/>
      </w:pPr>
      <w:r w:rsidRPr="00F9339A">
        <w:rPr>
          <w:rFonts w:hint="eastAsia"/>
        </w:rPr>
        <w:t>建筑界面应通透，避免采用大裙楼、大面宽做法，保证一定的通透率。高层建筑宜采用塔式建筑，尽量不遮挡视线的通透。建筑的天际线轮廓应起伏有致，符合美学规律。</w:t>
      </w:r>
    </w:p>
    <w:p w:rsidR="00297F67" w:rsidRPr="00CC3EC8" w:rsidRDefault="00297F67" w:rsidP="00CC3EC8">
      <w:pPr>
        <w:pStyle w:val="Heading3"/>
      </w:pPr>
      <w:r w:rsidRPr="00CC3EC8">
        <w:t>2</w:t>
      </w:r>
      <w:r w:rsidRPr="00CC3EC8">
        <w:rPr>
          <w:rFonts w:hint="eastAsia"/>
        </w:rPr>
        <w:t>、建筑面宽</w:t>
      </w:r>
    </w:p>
    <w:p w:rsidR="00297F67" w:rsidRPr="00F9339A" w:rsidRDefault="00297F67" w:rsidP="00F9339A">
      <w:pPr>
        <w:ind w:firstLineChars="202" w:firstLine="424"/>
      </w:pPr>
      <w:r w:rsidRPr="00F9339A">
        <w:rPr>
          <w:rFonts w:hint="eastAsia"/>
        </w:rPr>
        <w:t>滨水、临山及临城市主干道的一线建筑，高度在</w:t>
      </w:r>
      <w:r w:rsidRPr="00F9339A">
        <w:t xml:space="preserve"> 24 </w:t>
      </w:r>
      <w:r w:rsidRPr="00F9339A">
        <w:rPr>
          <w:rFonts w:hint="eastAsia"/>
        </w:rPr>
        <w:t>米以下的，其最大连续展开面宽的投影不得大于</w:t>
      </w:r>
      <w:r>
        <w:t>80</w:t>
      </w:r>
      <w:r w:rsidRPr="00F9339A">
        <w:rPr>
          <w:rFonts w:hint="eastAsia"/>
        </w:rPr>
        <w:t>米；高度在</w:t>
      </w:r>
      <w:r>
        <w:t>24</w:t>
      </w:r>
      <w:r w:rsidRPr="00F9339A">
        <w:rPr>
          <w:rFonts w:hint="eastAsia"/>
        </w:rPr>
        <w:t>米至</w:t>
      </w:r>
      <w:r>
        <w:t>60</w:t>
      </w:r>
      <w:r w:rsidRPr="00F9339A">
        <w:rPr>
          <w:rFonts w:hint="eastAsia"/>
        </w:rPr>
        <w:t>米之间的，其最大连续展开面宽的投影不得大于</w:t>
      </w:r>
      <w:r w:rsidRPr="00F9339A">
        <w:t xml:space="preserve"> 70 </w:t>
      </w:r>
      <w:r w:rsidRPr="00F9339A">
        <w:rPr>
          <w:rFonts w:hint="eastAsia"/>
        </w:rPr>
        <w:t>米；高度在</w:t>
      </w:r>
      <w:r>
        <w:t>60</w:t>
      </w:r>
      <w:r w:rsidRPr="00F9339A">
        <w:rPr>
          <w:rFonts w:hint="eastAsia"/>
        </w:rPr>
        <w:t>米以上的，其最大连续展开面宽的投影不得大于</w:t>
      </w:r>
      <w:r>
        <w:t>60</w:t>
      </w:r>
      <w:r w:rsidRPr="00F9339A">
        <w:rPr>
          <w:rFonts w:hint="eastAsia"/>
        </w:rPr>
        <w:t>米。</w:t>
      </w:r>
    </w:p>
    <w:p w:rsidR="00297F67" w:rsidRPr="00CC3EC8" w:rsidRDefault="00297F67" w:rsidP="00CC3EC8">
      <w:pPr>
        <w:pStyle w:val="Heading3"/>
      </w:pPr>
      <w:r w:rsidRPr="00CC3EC8">
        <w:t>3</w:t>
      </w:r>
      <w:r w:rsidRPr="00CC3EC8">
        <w:rPr>
          <w:rFonts w:hint="eastAsia"/>
        </w:rPr>
        <w:t>、建筑贴线率</w:t>
      </w:r>
    </w:p>
    <w:p w:rsidR="00297F67" w:rsidRPr="00F9339A" w:rsidRDefault="00297F67" w:rsidP="00F9339A">
      <w:pPr>
        <w:ind w:firstLineChars="202" w:firstLine="424"/>
      </w:pPr>
      <w:r w:rsidRPr="00F9339A">
        <w:rPr>
          <w:rFonts w:hint="eastAsia"/>
        </w:rPr>
        <w:t>临城市主干道一线的建筑裙房界面以强质连续界面，贴线率控制在</w:t>
      </w:r>
      <w:r w:rsidRPr="00F9339A">
        <w:t>80%</w:t>
      </w:r>
      <w:r w:rsidRPr="00F9339A">
        <w:rPr>
          <w:rFonts w:hint="eastAsia"/>
        </w:rPr>
        <w:t>以上；滨水、临山一线的建筑裙房界面以弱质连续界面，贴线率控制在</w:t>
      </w:r>
      <w:r w:rsidRPr="00F9339A">
        <w:t>50%—80%</w:t>
      </w:r>
      <w:r w:rsidRPr="00F9339A">
        <w:rPr>
          <w:rFonts w:hint="eastAsia"/>
        </w:rPr>
        <w:t>之间。</w:t>
      </w:r>
    </w:p>
    <w:p w:rsidR="00297F67" w:rsidRPr="00CC3EC8" w:rsidRDefault="00297F67" w:rsidP="00CC3EC8">
      <w:pPr>
        <w:pStyle w:val="Heading3"/>
      </w:pPr>
      <w:r w:rsidRPr="00CC3EC8">
        <w:t>4</w:t>
      </w:r>
      <w:r w:rsidRPr="00CC3EC8">
        <w:rPr>
          <w:rFonts w:hint="eastAsia"/>
        </w:rPr>
        <w:t>、通透率</w:t>
      </w:r>
    </w:p>
    <w:p w:rsidR="00297F67" w:rsidRPr="00F9339A" w:rsidRDefault="00297F67" w:rsidP="00F9339A">
      <w:pPr>
        <w:ind w:firstLineChars="202" w:firstLine="424"/>
      </w:pPr>
      <w:r w:rsidRPr="00F9339A">
        <w:rPr>
          <w:rFonts w:hint="eastAsia"/>
        </w:rPr>
        <w:t>滨水、临山及临城市主干道的建设项目，应当增加空间开敞度，并保证城市设计中确定的主要景观轴线及视线通廊贯通。临城市主干道的，建筑高度在</w:t>
      </w:r>
      <w:r w:rsidRPr="00F9339A">
        <w:t xml:space="preserve"> 24 </w:t>
      </w:r>
      <w:r w:rsidRPr="00F9339A">
        <w:rPr>
          <w:rFonts w:hint="eastAsia"/>
        </w:rPr>
        <w:t>米以上的建筑物最大连续展开面宽之和，不得大于其规划用地临路一侧宽度的</w:t>
      </w:r>
      <w:r w:rsidRPr="00F9339A">
        <w:t xml:space="preserve"> 60%</w:t>
      </w:r>
      <w:r w:rsidRPr="00F9339A">
        <w:rPr>
          <w:rFonts w:hint="eastAsia"/>
        </w:rPr>
        <w:t>；临河的，建筑高度在</w:t>
      </w:r>
      <w:r w:rsidRPr="00F9339A">
        <w:t xml:space="preserve"> 24 </w:t>
      </w:r>
      <w:r w:rsidRPr="00F9339A">
        <w:rPr>
          <w:rFonts w:hint="eastAsia"/>
        </w:rPr>
        <w:t>米及以上的建筑物最大连续展开面宽之和，不得大于其规划用地临河一侧宽度的</w:t>
      </w:r>
      <w:r w:rsidRPr="00F9339A">
        <w:t xml:space="preserve"> 50%</w:t>
      </w:r>
      <w:r w:rsidRPr="00F9339A">
        <w:rPr>
          <w:rFonts w:hint="eastAsia"/>
        </w:rPr>
        <w:t>；临水、临山地区的，建筑物的最大连续展开面宽之和不得大于其规划用地临湖、临山一侧高度的</w:t>
      </w:r>
      <w:r w:rsidRPr="00F9339A">
        <w:t xml:space="preserve"> 50%</w:t>
      </w:r>
    </w:p>
    <w:p w:rsidR="00297F67" w:rsidRPr="00CC3EC8" w:rsidRDefault="00297F67" w:rsidP="00CC3EC8">
      <w:pPr>
        <w:pStyle w:val="Heading3"/>
      </w:pPr>
      <w:r w:rsidRPr="00CC3EC8">
        <w:t>5</w:t>
      </w:r>
      <w:r w:rsidRPr="00CC3EC8">
        <w:rPr>
          <w:rFonts w:hint="eastAsia"/>
        </w:rPr>
        <w:t>、高宽比</w:t>
      </w:r>
    </w:p>
    <w:p w:rsidR="00297F67" w:rsidRPr="00F9339A" w:rsidRDefault="00297F67" w:rsidP="00F9339A">
      <w:pPr>
        <w:ind w:firstLineChars="202" w:firstLine="424"/>
      </w:pPr>
      <w:r w:rsidRPr="00F9339A">
        <w:rPr>
          <w:rFonts w:hint="eastAsia"/>
        </w:rPr>
        <w:t>位于城市重要区域、滨水、临山及临城市主干道的建设项目，高层建筑面宽和建筑高度的比值宜采用</w:t>
      </w:r>
      <w:r w:rsidRPr="00F9339A">
        <w:t>1:2.5——1</w:t>
      </w:r>
      <w:r w:rsidRPr="00F9339A">
        <w:rPr>
          <w:rFonts w:hint="eastAsia"/>
        </w:rPr>
        <w:t>：</w:t>
      </w:r>
      <w:r>
        <w:t>3</w:t>
      </w:r>
      <w:r w:rsidRPr="00F9339A">
        <w:rPr>
          <w:rFonts w:hint="eastAsia"/>
        </w:rPr>
        <w:t>为宜。位于已编制城市设计片区超高层建筑的高宽比，应当参照城市设计的控制要求执行；对于不是报审明确的城市设计，应在建筑方案报审时，同步进行所在片</w:t>
      </w:r>
      <w:r>
        <w:rPr>
          <w:rFonts w:hint="eastAsia"/>
        </w:rPr>
        <w:t>区的城市设计意向方案研究，并参照城市设计意向方案的控制要求执行</w:t>
      </w:r>
      <w:r w:rsidRPr="00F9339A">
        <w:rPr>
          <w:rFonts w:hint="eastAsia"/>
        </w:rPr>
        <w:t>。</w:t>
      </w:r>
    </w:p>
    <w:p w:rsidR="00297F67" w:rsidRPr="00CC3EC8" w:rsidRDefault="00297F67" w:rsidP="00CC3EC8">
      <w:pPr>
        <w:pStyle w:val="Heading3"/>
      </w:pPr>
      <w:r w:rsidRPr="00CC3EC8">
        <w:t>6</w:t>
      </w:r>
      <w:r w:rsidRPr="00CC3EC8">
        <w:rPr>
          <w:rFonts w:hint="eastAsia"/>
        </w:rPr>
        <w:t>、高度层次</w:t>
      </w:r>
    </w:p>
    <w:p w:rsidR="00297F67" w:rsidRPr="00F9339A" w:rsidRDefault="00297F67" w:rsidP="00F9339A">
      <w:pPr>
        <w:ind w:firstLineChars="202" w:firstLine="424"/>
      </w:pPr>
      <w:r w:rsidRPr="00F9339A">
        <w:rPr>
          <w:rFonts w:hint="eastAsia"/>
        </w:rPr>
        <w:t>滨水、临山及临城市主干道的，同一项目地块或相邻地块之间，</w:t>
      </w:r>
      <w:r>
        <w:t>100</w:t>
      </w:r>
      <w:r w:rsidRPr="00F9339A">
        <w:rPr>
          <w:rFonts w:hint="eastAsia"/>
        </w:rPr>
        <w:t>米及以上的高层建筑连续布局</w:t>
      </w:r>
      <w:r w:rsidRPr="00F9339A">
        <w:t xml:space="preserve"> 3 </w:t>
      </w:r>
      <w:r w:rsidRPr="00F9339A">
        <w:rPr>
          <w:rFonts w:hint="eastAsia"/>
        </w:rPr>
        <w:t>栋以上的，应有高度梯度变化，且高度之间差值应不少于</w:t>
      </w:r>
      <w:r w:rsidRPr="00F9339A">
        <w:t xml:space="preserve"> 25 </w:t>
      </w:r>
      <w:r w:rsidRPr="00F9339A">
        <w:rPr>
          <w:rFonts w:hint="eastAsia"/>
        </w:rPr>
        <w:t>米。</w:t>
      </w:r>
    </w:p>
    <w:p w:rsidR="00297F67" w:rsidRPr="00F9339A" w:rsidRDefault="00297F67" w:rsidP="00F9339A">
      <w:pPr>
        <w:ind w:firstLineChars="202" w:firstLine="424"/>
      </w:pPr>
      <w:r w:rsidRPr="00F9339A">
        <w:rPr>
          <w:rFonts w:hint="eastAsia"/>
        </w:rPr>
        <w:t>同一地块建筑布局</w:t>
      </w:r>
      <w:r w:rsidRPr="00F9339A">
        <w:t>6</w:t>
      </w:r>
      <w:r w:rsidRPr="00F9339A">
        <w:rPr>
          <w:rFonts w:hint="eastAsia"/>
        </w:rPr>
        <w:t>栋以上，应当至少采用</w:t>
      </w:r>
      <w:r w:rsidRPr="00F9339A">
        <w:t xml:space="preserve"> 2 </w:t>
      </w:r>
      <w:r w:rsidRPr="00F9339A">
        <w:rPr>
          <w:rFonts w:hint="eastAsia"/>
        </w:rPr>
        <w:t>个建筑高度层次（不含裙房）。同一地块建筑布局</w:t>
      </w:r>
      <w:r w:rsidRPr="00F9339A">
        <w:t xml:space="preserve"> 10 </w:t>
      </w:r>
      <w:r w:rsidRPr="00F9339A">
        <w:rPr>
          <w:rFonts w:hint="eastAsia"/>
        </w:rPr>
        <w:t>栋以上，应当至少采用</w:t>
      </w:r>
      <w:r w:rsidRPr="00F9339A">
        <w:t xml:space="preserve"> 3 </w:t>
      </w:r>
      <w:r w:rsidRPr="00F9339A">
        <w:rPr>
          <w:rFonts w:hint="eastAsia"/>
        </w:rPr>
        <w:t>个建筑高度层次（不含裙房）。建筑高度在</w:t>
      </w:r>
      <w:r w:rsidRPr="00F9339A">
        <w:t xml:space="preserve"> 24 </w:t>
      </w:r>
      <w:r w:rsidRPr="00F9339A">
        <w:rPr>
          <w:rFonts w:hint="eastAsia"/>
        </w:rPr>
        <w:t>米以下的，相邻两层次高度之间差值应不少于</w:t>
      </w:r>
      <w:r w:rsidRPr="00F9339A">
        <w:t xml:space="preserve"> 6 </w:t>
      </w:r>
      <w:r w:rsidRPr="00F9339A">
        <w:rPr>
          <w:rFonts w:hint="eastAsia"/>
        </w:rPr>
        <w:t>米，且最高高度建筑栋数不少于总建筑栋数的</w:t>
      </w:r>
      <w:r w:rsidRPr="00F9339A">
        <w:t>20%</w:t>
      </w:r>
      <w:r w:rsidRPr="00F9339A">
        <w:rPr>
          <w:rFonts w:hint="eastAsia"/>
        </w:rPr>
        <w:t>，不大于总建筑栋数的</w:t>
      </w:r>
      <w:r w:rsidRPr="00F9339A">
        <w:t>80%</w:t>
      </w:r>
      <w:r w:rsidRPr="00F9339A">
        <w:rPr>
          <w:rFonts w:hint="eastAsia"/>
        </w:rPr>
        <w:t>；建筑高度在</w:t>
      </w:r>
      <w:r w:rsidRPr="00F9339A">
        <w:t>24</w:t>
      </w:r>
      <w:r w:rsidRPr="00F9339A">
        <w:rPr>
          <w:rFonts w:hint="eastAsia"/>
        </w:rPr>
        <w:t>以上的，相邻两层次高度之间差值应不小于</w:t>
      </w:r>
      <w:r w:rsidRPr="00F9339A">
        <w:t>15</w:t>
      </w:r>
      <w:r w:rsidRPr="00F9339A">
        <w:rPr>
          <w:rFonts w:hint="eastAsia"/>
        </w:rPr>
        <w:t>米，且最高高度建筑不少于</w:t>
      </w:r>
      <w:r w:rsidRPr="00F9339A">
        <w:t>2</w:t>
      </w:r>
      <w:r w:rsidRPr="00F9339A">
        <w:rPr>
          <w:rFonts w:hint="eastAsia"/>
        </w:rPr>
        <w:t>栋。</w:t>
      </w:r>
    </w:p>
    <w:p w:rsidR="00297F67" w:rsidRPr="00CC3EC8" w:rsidRDefault="00297F67" w:rsidP="00CC3EC8">
      <w:pPr>
        <w:pStyle w:val="Heading3"/>
      </w:pPr>
      <w:r w:rsidRPr="00CC3EC8">
        <w:t>7</w:t>
      </w:r>
      <w:r w:rsidRPr="00CC3EC8">
        <w:rPr>
          <w:rFonts w:hint="eastAsia"/>
        </w:rPr>
        <w:t>、立面</w:t>
      </w:r>
    </w:p>
    <w:p w:rsidR="00297F67" w:rsidRPr="00F9339A" w:rsidRDefault="00297F67" w:rsidP="00F9339A">
      <w:pPr>
        <w:ind w:firstLineChars="202" w:firstLine="424"/>
      </w:pPr>
      <w:r w:rsidRPr="00F9339A">
        <w:rPr>
          <w:rFonts w:hint="eastAsia"/>
        </w:rPr>
        <w:t>（</w:t>
      </w:r>
      <w:r w:rsidRPr="00F9339A">
        <w:t>1</w:t>
      </w:r>
      <w:r w:rsidRPr="00F9339A">
        <w:rPr>
          <w:rFonts w:hint="eastAsia"/>
        </w:rPr>
        <w:t>）居住建筑：其立面应简洁美观，位于城市重要区域的住宅建筑外立面应当进行公建化设计，临街一线住宅建筑不得设置开敞式阳台，空调机位及附属设施应当统一隐蔽设计。历史地段的居住建筑立面细部可参考导则居住建筑立面细部构造引导。非历史地段的居住建筑立面细部构造宜进行精细化设计。</w:t>
      </w:r>
    </w:p>
    <w:p w:rsidR="00297F67" w:rsidRPr="00F9339A" w:rsidRDefault="00297F67" w:rsidP="00F9339A">
      <w:pPr>
        <w:ind w:firstLineChars="202" w:firstLine="424"/>
      </w:pPr>
      <w:r w:rsidRPr="00F9339A">
        <w:rPr>
          <w:rFonts w:hint="eastAsia"/>
        </w:rPr>
        <w:t>（</w:t>
      </w:r>
      <w:r w:rsidRPr="00F9339A">
        <w:t>2</w:t>
      </w:r>
      <w:r w:rsidRPr="00F9339A">
        <w:rPr>
          <w:rFonts w:hint="eastAsia"/>
        </w:rPr>
        <w:t>）公共建筑：公共建筑外立面应简约大气，不应追求造型独特。建筑的店招、广告牌、顶部外部设备（冷却塔、空调室外机、室外管道等）应在方案设计阶段统一设计，色彩和造型应与主体建筑的个性，塑造出简洁的建筑形体。历史地段的公共建筑立面细部改造参考导则公建立面细部构造引导，非历史地段的公共建筑立面细部构造宜进行精细化设计。</w:t>
      </w:r>
    </w:p>
    <w:p w:rsidR="00297F67" w:rsidRPr="00F9339A" w:rsidRDefault="00297F67" w:rsidP="00F9339A">
      <w:pPr>
        <w:ind w:firstLineChars="202" w:firstLine="424"/>
      </w:pPr>
      <w:r w:rsidRPr="00F9339A">
        <w:rPr>
          <w:rFonts w:hint="eastAsia"/>
        </w:rPr>
        <w:t>（</w:t>
      </w:r>
      <w:r w:rsidRPr="00F9339A">
        <w:t>3</w:t>
      </w:r>
      <w:r w:rsidRPr="00F9339A">
        <w:rPr>
          <w:rFonts w:hint="eastAsia"/>
        </w:rPr>
        <w:t>）物流建筑：物流建筑外立面应简洁规整，利用门窗与墙面进行虚实对比，丰富立面元素，塑造出美观大方的建筑。</w:t>
      </w:r>
    </w:p>
    <w:p w:rsidR="00297F67" w:rsidRPr="00CC3EC8" w:rsidRDefault="00297F67" w:rsidP="00CC3EC8">
      <w:pPr>
        <w:pStyle w:val="Heading3"/>
      </w:pPr>
      <w:r w:rsidRPr="00CC3EC8">
        <w:t>8</w:t>
      </w:r>
      <w:r w:rsidRPr="00CC3EC8">
        <w:rPr>
          <w:rFonts w:hint="eastAsia"/>
        </w:rPr>
        <w:t>、屋顶</w:t>
      </w:r>
    </w:p>
    <w:p w:rsidR="00297F67" w:rsidRPr="00F9339A" w:rsidRDefault="00297F67" w:rsidP="00F9339A">
      <w:pPr>
        <w:ind w:firstLineChars="202" w:firstLine="424"/>
      </w:pPr>
      <w:r w:rsidRPr="00F9339A">
        <w:rPr>
          <w:rFonts w:hint="eastAsia"/>
        </w:rPr>
        <w:t>（</w:t>
      </w:r>
      <w:r w:rsidRPr="00F9339A">
        <w:t>1</w:t>
      </w:r>
      <w:r w:rsidRPr="00F9339A">
        <w:rPr>
          <w:rFonts w:hint="eastAsia"/>
        </w:rPr>
        <w:t>）居住建筑：屋顶设计应简洁大方，采用卷棚顶、弧形山墙进行装饰。位于滨水、临山地区或临近主干道、开敞场地等，与相邻建筑形成景观面时应注重整体天际线的美感。</w:t>
      </w:r>
    </w:p>
    <w:p w:rsidR="00297F67" w:rsidRPr="00F9339A" w:rsidRDefault="00297F67" w:rsidP="00F9339A">
      <w:pPr>
        <w:ind w:firstLineChars="202" w:firstLine="424"/>
      </w:pPr>
      <w:r w:rsidRPr="00F9339A">
        <w:rPr>
          <w:rFonts w:hint="eastAsia"/>
        </w:rPr>
        <w:t>（</w:t>
      </w:r>
      <w:r w:rsidRPr="00F9339A">
        <w:t>2</w:t>
      </w:r>
      <w:r w:rsidRPr="00F9339A">
        <w:rPr>
          <w:rFonts w:hint="eastAsia"/>
        </w:rPr>
        <w:t>）公共建筑：公共建筑屋顶设计应注重建筑单体自身造型的整体性，并与周边建筑相协调，高层公共建筑屋顶应以简洁大方为主、低层、多层公共建筑在此前提下，可适当增加变化。公共建筑应将屋顶设备纳入整体设计中，与建筑主体协调，塑造出简洁的建筑形体。</w:t>
      </w:r>
    </w:p>
    <w:p w:rsidR="00297F67" w:rsidRPr="00F9339A" w:rsidRDefault="00297F67" w:rsidP="00F9339A">
      <w:pPr>
        <w:ind w:firstLineChars="202" w:firstLine="424"/>
      </w:pPr>
      <w:r w:rsidRPr="00F9339A">
        <w:rPr>
          <w:rFonts w:hint="eastAsia"/>
        </w:rPr>
        <w:t>（</w:t>
      </w:r>
      <w:r w:rsidRPr="00F9339A">
        <w:t>3</w:t>
      </w:r>
      <w:r w:rsidRPr="00F9339A">
        <w:rPr>
          <w:rFonts w:hint="eastAsia"/>
        </w:rPr>
        <w:t>）物流建筑：物流建筑屋顶设计应简洁、紧凑、高效。</w:t>
      </w:r>
    </w:p>
    <w:p w:rsidR="00297F67" w:rsidRPr="00CC3EC8" w:rsidRDefault="00297F67" w:rsidP="00CC3EC8">
      <w:pPr>
        <w:pStyle w:val="Heading3"/>
      </w:pPr>
      <w:r w:rsidRPr="00CC3EC8">
        <w:t>9</w:t>
      </w:r>
      <w:r w:rsidRPr="00CC3EC8">
        <w:rPr>
          <w:rFonts w:hint="eastAsia"/>
        </w:rPr>
        <w:t>、色彩、材质</w:t>
      </w:r>
    </w:p>
    <w:p w:rsidR="00297F67" w:rsidRPr="00F9339A" w:rsidRDefault="00297F67" w:rsidP="00F9339A">
      <w:pPr>
        <w:ind w:firstLineChars="202" w:firstLine="424"/>
      </w:pPr>
      <w:r w:rsidRPr="00F9339A">
        <w:rPr>
          <w:rFonts w:hint="eastAsia"/>
        </w:rPr>
        <w:t>建筑色彩应当符合本</w:t>
      </w:r>
      <w:r>
        <w:rPr>
          <w:rFonts w:hint="eastAsia"/>
        </w:rPr>
        <w:t>规划</w:t>
      </w:r>
      <w:r w:rsidRPr="00F9339A">
        <w:rPr>
          <w:rFonts w:hint="eastAsia"/>
        </w:rPr>
        <w:t>对城市色彩的基本要求，并与周边环境相协调。位于临河、临山地区等景观控制区域建筑物的建筑色彩应当与周边环境相协调。临河地区建筑色彩宜采用淡雅明朗的色系</w:t>
      </w:r>
      <w:r>
        <w:rPr>
          <w:rFonts w:hint="eastAsia"/>
        </w:rPr>
        <w:t>；</w:t>
      </w:r>
      <w:bookmarkStart w:id="0" w:name="_GoBack"/>
      <w:bookmarkEnd w:id="0"/>
      <w:r w:rsidRPr="00F9339A">
        <w:rPr>
          <w:rFonts w:hint="eastAsia"/>
        </w:rPr>
        <w:t>临山地区的建筑色彩应当考虑城市整体鸟瞰效果。建筑材质建议使用真石漆、干挂石材和增强水泥纤维板，并在局部点缀临夏特色木雕、砖雕。</w:t>
      </w:r>
    </w:p>
    <w:p w:rsidR="00297F67" w:rsidRPr="00CC3EC8" w:rsidRDefault="00297F67" w:rsidP="00CC3EC8">
      <w:pPr>
        <w:pStyle w:val="Heading2"/>
      </w:pPr>
      <w:r w:rsidRPr="00CC3EC8">
        <w:rPr>
          <w:rFonts w:hint="eastAsia"/>
        </w:rPr>
        <w:t>（三）历史地段建筑风貌引导</w:t>
      </w:r>
    </w:p>
    <w:p w:rsidR="00297F67" w:rsidRDefault="00297F67" w:rsidP="00AE1A4D">
      <w:pPr>
        <w:ind w:firstLineChars="202" w:firstLine="424"/>
      </w:pPr>
      <w:r>
        <w:rPr>
          <w:rFonts w:hint="eastAsia"/>
        </w:rPr>
        <w:t>本规划确定的历史地段范围，为</w:t>
      </w:r>
      <w:r w:rsidRPr="00AE1A4D">
        <w:rPr>
          <w:rFonts w:hint="eastAsia"/>
        </w:rPr>
        <w:t>《临夏市历史文化名城保护规划》（</w:t>
      </w:r>
      <w:r w:rsidRPr="00AE1A4D">
        <w:t>2016—2030</w:t>
      </w:r>
      <w:r w:rsidRPr="00AE1A4D">
        <w:rPr>
          <w:rFonts w:hint="eastAsia"/>
        </w:rPr>
        <w:t>）中确定的历史城区</w:t>
      </w:r>
      <w:r w:rsidRPr="00AE1A4D">
        <w:t>+</w:t>
      </w:r>
      <w:r w:rsidRPr="00AE1A4D">
        <w:rPr>
          <w:rFonts w:hint="eastAsia"/>
        </w:rPr>
        <w:t>历史城区周边地区</w:t>
      </w:r>
      <w:r>
        <w:rPr>
          <w:rFonts w:hint="eastAsia"/>
        </w:rPr>
        <w:t>，</w:t>
      </w:r>
      <w:r w:rsidRPr="00AE1A4D">
        <w:rPr>
          <w:rFonts w:hint="eastAsia"/>
        </w:rPr>
        <w:t>面积</w:t>
      </w:r>
      <w:r>
        <w:rPr>
          <w:rFonts w:hint="eastAsia"/>
        </w:rPr>
        <w:t>为</w:t>
      </w:r>
      <w:r w:rsidRPr="00AE1A4D">
        <w:t>7.05</w:t>
      </w:r>
      <w:r w:rsidRPr="00AE1A4D">
        <w:rPr>
          <w:rFonts w:hint="eastAsia"/>
        </w:rPr>
        <w:t>平方公里</w:t>
      </w:r>
      <w:r>
        <w:rPr>
          <w:rFonts w:hint="eastAsia"/>
        </w:rPr>
        <w:t>。分两个层次进行引导，分别为</w:t>
      </w:r>
      <w:r w:rsidRPr="00AE1A4D">
        <w:rPr>
          <w:rFonts w:hint="eastAsia"/>
        </w:rPr>
        <w:t>历史文化街区、历史建筑及风貌协调区的建筑严格按保护规划控制</w:t>
      </w:r>
      <w:r>
        <w:rPr>
          <w:rFonts w:hint="eastAsia"/>
        </w:rPr>
        <w:t>，以及历史地段其他区域的建筑风貌控制。</w:t>
      </w:r>
    </w:p>
    <w:p w:rsidR="00297F67" w:rsidRPr="00CC3EC8" w:rsidRDefault="00297F67" w:rsidP="00CC3EC8">
      <w:pPr>
        <w:pStyle w:val="Heading3"/>
      </w:pPr>
      <w:r w:rsidRPr="00CC3EC8">
        <w:t>1</w:t>
      </w:r>
      <w:r w:rsidRPr="00CC3EC8">
        <w:rPr>
          <w:rFonts w:hint="eastAsia"/>
        </w:rPr>
        <w:t>、整体风貌引导</w:t>
      </w:r>
    </w:p>
    <w:p w:rsidR="00297F67" w:rsidRPr="00AE1A4D" w:rsidRDefault="00297F67" w:rsidP="00AE1A4D">
      <w:pPr>
        <w:ind w:firstLineChars="202" w:firstLine="424"/>
      </w:pPr>
      <w:r w:rsidRPr="00AE1A4D">
        <w:rPr>
          <w:rFonts w:hint="eastAsia"/>
        </w:rPr>
        <w:t>历史轴线为团结路</w:t>
      </w:r>
      <w:r w:rsidRPr="00AE1A4D">
        <w:t>-</w:t>
      </w:r>
      <w:r w:rsidRPr="00AE1A4D">
        <w:rPr>
          <w:rFonts w:hint="eastAsia"/>
        </w:rPr>
        <w:t>解放路，传统文化展示轴为红园路。</w:t>
      </w:r>
    </w:p>
    <w:p w:rsidR="00297F67" w:rsidRPr="00AE1A4D" w:rsidRDefault="00297F67" w:rsidP="00AE1A4D">
      <w:pPr>
        <w:ind w:firstLineChars="202" w:firstLine="424"/>
      </w:pPr>
      <w:r>
        <w:rPr>
          <w:rFonts w:hint="eastAsia"/>
        </w:rPr>
        <w:t>通视区域为：</w:t>
      </w:r>
      <w:r w:rsidRPr="00AE1A4D">
        <w:rPr>
          <w:rFonts w:hint="eastAsia"/>
        </w:rPr>
        <w:t>北塬山万寿观</w:t>
      </w:r>
      <w:r w:rsidRPr="00AE1A4D">
        <w:t>—</w:t>
      </w:r>
      <w:r w:rsidRPr="00AE1A4D">
        <w:rPr>
          <w:rFonts w:hint="eastAsia"/>
        </w:rPr>
        <w:t>新西路</w:t>
      </w:r>
      <w:r w:rsidRPr="00AE1A4D">
        <w:t>—</w:t>
      </w:r>
      <w:r w:rsidRPr="00AE1A4D">
        <w:rPr>
          <w:rFonts w:hint="eastAsia"/>
        </w:rPr>
        <w:t>大夏河</w:t>
      </w:r>
      <w:r>
        <w:rPr>
          <w:rFonts w:hint="eastAsia"/>
        </w:rPr>
        <w:t>，</w:t>
      </w:r>
      <w:r w:rsidRPr="00AE1A4D">
        <w:rPr>
          <w:rFonts w:hint="eastAsia"/>
        </w:rPr>
        <w:t>北塬山</w:t>
      </w:r>
      <w:r w:rsidRPr="00AE1A4D">
        <w:t>—</w:t>
      </w:r>
      <w:r w:rsidRPr="00AE1A4D">
        <w:rPr>
          <w:rFonts w:hint="eastAsia"/>
        </w:rPr>
        <w:t>团结路</w:t>
      </w:r>
      <w:r w:rsidRPr="00AE1A4D">
        <w:t>—</w:t>
      </w:r>
      <w:r w:rsidRPr="00AE1A4D">
        <w:rPr>
          <w:rFonts w:hint="eastAsia"/>
        </w:rPr>
        <w:t>解放路</w:t>
      </w:r>
      <w:r w:rsidRPr="00AE1A4D">
        <w:t>—</w:t>
      </w:r>
      <w:r w:rsidRPr="00AE1A4D">
        <w:rPr>
          <w:rFonts w:hint="eastAsia"/>
        </w:rPr>
        <w:t>大夏河</w:t>
      </w:r>
      <w:r w:rsidRPr="00AE1A4D">
        <w:t>—</w:t>
      </w:r>
      <w:r w:rsidRPr="00AE1A4D">
        <w:rPr>
          <w:rFonts w:hint="eastAsia"/>
        </w:rPr>
        <w:t>南龙山</w:t>
      </w:r>
      <w:r>
        <w:rPr>
          <w:rFonts w:hint="eastAsia"/>
        </w:rPr>
        <w:t>两条，进行同事区域保护。</w:t>
      </w:r>
    </w:p>
    <w:p w:rsidR="00297F67" w:rsidRPr="00AE1A4D" w:rsidRDefault="00297F67" w:rsidP="00AE1A4D">
      <w:pPr>
        <w:ind w:firstLineChars="202" w:firstLine="424"/>
      </w:pPr>
      <w:r w:rsidRPr="00AE1A4D">
        <w:rPr>
          <w:rFonts w:hint="eastAsia"/>
        </w:rPr>
        <w:t>建筑高度控制</w:t>
      </w:r>
      <w:r>
        <w:rPr>
          <w:rFonts w:hint="eastAsia"/>
        </w:rPr>
        <w:t>：</w:t>
      </w:r>
      <w:r w:rsidRPr="00AE1A4D">
        <w:rPr>
          <w:rFonts w:hint="eastAsia"/>
        </w:rPr>
        <w:t>文物保护单位保护范围和建设控制地带内：建筑高度应符合该文物保护单位的保护要求。历史文化街区核心保护范围内：建筑高度按原高控制，与传统建筑高度不协调的建筑建议降层改造。八坊十三巷历史文化街区被建筑控制地带内：控制建筑檐口高度不超过</w:t>
      </w:r>
      <w:r w:rsidRPr="00AE1A4D">
        <w:t>18</w:t>
      </w:r>
      <w:r w:rsidRPr="00AE1A4D">
        <w:rPr>
          <w:rFonts w:hint="eastAsia"/>
        </w:rPr>
        <w:t>米（</w:t>
      </w:r>
      <w:r w:rsidRPr="00AE1A4D">
        <w:t>6</w:t>
      </w:r>
      <w:r w:rsidRPr="00AE1A4D">
        <w:rPr>
          <w:rFonts w:hint="eastAsia"/>
        </w:rPr>
        <w:t>层）。红园历史文化街区建设控制地带内：控制建筑檐口高度不超过</w:t>
      </w:r>
      <w:r>
        <w:t>18</w:t>
      </w:r>
      <w:r>
        <w:rPr>
          <w:rFonts w:hint="eastAsia"/>
        </w:rPr>
        <w:t>米</w:t>
      </w:r>
      <w:r w:rsidRPr="00AE1A4D">
        <w:rPr>
          <w:rFonts w:hint="eastAsia"/>
        </w:rPr>
        <w:t>（</w:t>
      </w:r>
      <w:r>
        <w:t>6</w:t>
      </w:r>
      <w:r w:rsidRPr="00AE1A4D">
        <w:rPr>
          <w:rFonts w:hint="eastAsia"/>
        </w:rPr>
        <w:t>层）。</w:t>
      </w:r>
    </w:p>
    <w:p w:rsidR="00297F67" w:rsidRPr="00CC3EC8" w:rsidRDefault="00297F67" w:rsidP="00CC3EC8">
      <w:pPr>
        <w:pStyle w:val="Heading3"/>
      </w:pPr>
      <w:r w:rsidRPr="00CC3EC8">
        <w:t>2</w:t>
      </w:r>
      <w:r w:rsidRPr="00CC3EC8">
        <w:rPr>
          <w:rFonts w:hint="eastAsia"/>
        </w:rPr>
        <w:t>、历史文化街区、历史建筑及其风貌协调区引导</w:t>
      </w:r>
    </w:p>
    <w:p w:rsidR="00297F67" w:rsidRDefault="00297F67" w:rsidP="00097F9F">
      <w:pPr>
        <w:ind w:firstLineChars="202" w:firstLine="424"/>
      </w:pPr>
      <w:r>
        <w:rPr>
          <w:rFonts w:hint="eastAsia"/>
        </w:rPr>
        <w:t>（</w:t>
      </w:r>
      <w:r>
        <w:t>1</w:t>
      </w:r>
      <w:r>
        <w:rPr>
          <w:rFonts w:hint="eastAsia"/>
        </w:rPr>
        <w:t>）引导范围</w:t>
      </w:r>
    </w:p>
    <w:p w:rsidR="00297F67" w:rsidRPr="00097F9F" w:rsidRDefault="00297F67" w:rsidP="00097F9F">
      <w:pPr>
        <w:ind w:firstLineChars="202" w:firstLine="424"/>
      </w:pPr>
      <w:r w:rsidRPr="00097F9F">
        <w:rPr>
          <w:rFonts w:hint="eastAsia"/>
        </w:rPr>
        <w:t>历史文化街区：八坊十三巷历史文化街区、红园历史文化街区；</w:t>
      </w:r>
    </w:p>
    <w:p w:rsidR="00297F67" w:rsidRDefault="00297F67" w:rsidP="00097F9F">
      <w:pPr>
        <w:ind w:firstLineChars="202" w:firstLine="424"/>
      </w:pPr>
      <w:r w:rsidRPr="00097F9F">
        <w:rPr>
          <w:rFonts w:hint="eastAsia"/>
        </w:rPr>
        <w:t>历史文化建筑：蝴蝶楼、东公馆、王竑墓、临夏北寺照壁、八坊十三巷</w:t>
      </w:r>
      <w:r>
        <w:t>80</w:t>
      </w:r>
      <w:r w:rsidRPr="00097F9F">
        <w:rPr>
          <w:rFonts w:hint="eastAsia"/>
        </w:rPr>
        <w:t>号院、王坪遗址、罗家尕塬遗址。</w:t>
      </w:r>
    </w:p>
    <w:p w:rsidR="00297F67" w:rsidRDefault="00297F67" w:rsidP="00097F9F">
      <w:pPr>
        <w:ind w:firstLineChars="202" w:firstLine="424"/>
      </w:pPr>
      <w:r>
        <w:rPr>
          <w:rFonts w:hint="eastAsia"/>
        </w:rPr>
        <w:t>其中历史文化街区、历史建筑风貌控制范围为</w:t>
      </w:r>
      <w:r w:rsidRPr="00AE1A4D">
        <w:rPr>
          <w:rFonts w:hint="eastAsia"/>
        </w:rPr>
        <w:t>《临夏市历史文化名城保护规划》（</w:t>
      </w:r>
      <w:r w:rsidRPr="00AE1A4D">
        <w:t>2016—2030</w:t>
      </w:r>
      <w:r w:rsidRPr="00AE1A4D">
        <w:rPr>
          <w:rFonts w:hint="eastAsia"/>
        </w:rPr>
        <w:t>）</w:t>
      </w:r>
      <w:r>
        <w:rPr>
          <w:rFonts w:hint="eastAsia"/>
        </w:rPr>
        <w:t>确定历史文化街区核心保护范围、历史建筑保护区范围；风貌协调区为其建设控制地带。</w:t>
      </w:r>
    </w:p>
    <w:p w:rsidR="00297F67" w:rsidRDefault="00297F67" w:rsidP="00E11784">
      <w:pPr>
        <w:ind w:firstLineChars="202" w:firstLine="424"/>
      </w:pPr>
      <w:r>
        <w:rPr>
          <w:rFonts w:hint="eastAsia"/>
        </w:rPr>
        <w:t>（</w:t>
      </w:r>
      <w:r>
        <w:t>2</w:t>
      </w:r>
      <w:r>
        <w:rPr>
          <w:rFonts w:hint="eastAsia"/>
        </w:rPr>
        <w:t>）引导原则</w:t>
      </w:r>
    </w:p>
    <w:p w:rsidR="00297F67" w:rsidRDefault="00297F67" w:rsidP="00E11784">
      <w:pPr>
        <w:ind w:firstLineChars="202" w:firstLine="424"/>
      </w:pPr>
      <w:r>
        <w:rPr>
          <w:rFonts w:hint="eastAsia"/>
        </w:rPr>
        <w:t>历史文化街区、历史建筑风貌控制范围：采用传统建筑风格，将传统元素与现代建筑技术手段相结合。从建筑形式、屋顶、门头、立面与色彩均采用传统民居的传统形式。采用回、汉各种窗棱的图案、砖雕及木雕装饰立面，色彩以木色、深灰色等。建筑局部可以采用垂直绿化。以历史和民俗为主题，配置建筑小品。</w:t>
      </w:r>
    </w:p>
    <w:p w:rsidR="00297F67" w:rsidRDefault="00297F67" w:rsidP="00D23302">
      <w:pPr>
        <w:ind w:firstLineChars="202" w:firstLine="424"/>
      </w:pPr>
      <w:r w:rsidRPr="00715538">
        <w:rPr>
          <w:rFonts w:hint="eastAsia"/>
        </w:rPr>
        <w:t>风貌协调区引导</w:t>
      </w:r>
      <w:r>
        <w:rPr>
          <w:rFonts w:hint="eastAsia"/>
        </w:rPr>
        <w:t>：在保持原有风格的基础上，逐步改善居住现状。对原有平房实施平改坡，建议采用传统卷棚顶形式。墙体采用青色砖墙为主，窗户选用传统木格窗、垂花窗和木质门，门窗装饰以木雕为主。主要道路沿线广告形式要求统一，与二层建筑持平，广告尺寸不宜过大，厚度不超过</w:t>
      </w:r>
      <w:r>
        <w:t>1</w:t>
      </w:r>
      <w:r>
        <w:rPr>
          <w:rFonts w:hint="eastAsia"/>
        </w:rPr>
        <w:t>米，颜色为彩度和明度都中等的红色、黄色为主，材质以实木质材料为主。</w:t>
      </w:r>
    </w:p>
    <w:p w:rsidR="00297F67" w:rsidRDefault="00297F67" w:rsidP="00CC3EC8">
      <w:pPr>
        <w:pStyle w:val="Heading3"/>
      </w:pPr>
      <w:r w:rsidRPr="00D23302">
        <w:t>3</w:t>
      </w:r>
      <w:r w:rsidRPr="00D23302">
        <w:rPr>
          <w:rFonts w:hint="eastAsia"/>
        </w:rPr>
        <w:t>、历史城区及周边地区风貌引导</w:t>
      </w:r>
    </w:p>
    <w:p w:rsidR="00297F67" w:rsidRDefault="00297F67" w:rsidP="00D23302">
      <w:pPr>
        <w:ind w:firstLineChars="202" w:firstLine="424"/>
      </w:pPr>
      <w:r>
        <w:rPr>
          <w:rFonts w:hint="eastAsia"/>
        </w:rPr>
        <w:t>（</w:t>
      </w:r>
      <w:r>
        <w:t>1</w:t>
      </w:r>
      <w:r>
        <w:rPr>
          <w:rFonts w:hint="eastAsia"/>
        </w:rPr>
        <w:t>）引导范围</w:t>
      </w:r>
    </w:p>
    <w:p w:rsidR="00297F67" w:rsidRDefault="00297F67" w:rsidP="00D23302">
      <w:pPr>
        <w:ind w:firstLineChars="202" w:firstLine="424"/>
      </w:pPr>
      <w:r>
        <w:rPr>
          <w:rFonts w:hint="eastAsia"/>
        </w:rPr>
        <w:t>历史地段内，除</w:t>
      </w:r>
      <w:r w:rsidRPr="00D23302">
        <w:rPr>
          <w:rFonts w:hint="eastAsia"/>
        </w:rPr>
        <w:t>历史文化街区、历史建筑及其风貌协调区</w:t>
      </w:r>
      <w:r>
        <w:rPr>
          <w:rFonts w:hint="eastAsia"/>
        </w:rPr>
        <w:t>以外的其他区域。</w:t>
      </w:r>
    </w:p>
    <w:p w:rsidR="00297F67" w:rsidRDefault="00297F67" w:rsidP="00D23302">
      <w:pPr>
        <w:ind w:firstLineChars="202" w:firstLine="424"/>
      </w:pPr>
      <w:r>
        <w:rPr>
          <w:rFonts w:hint="eastAsia"/>
        </w:rPr>
        <w:t>（</w:t>
      </w:r>
      <w:r>
        <w:t>2</w:t>
      </w:r>
      <w:r>
        <w:rPr>
          <w:rFonts w:hint="eastAsia"/>
        </w:rPr>
        <w:t>）引导原则</w:t>
      </w:r>
    </w:p>
    <w:p w:rsidR="00297F67" w:rsidRDefault="00297F67" w:rsidP="00D23302">
      <w:pPr>
        <w:ind w:firstLineChars="202" w:firstLine="424"/>
      </w:pPr>
      <w:r w:rsidRPr="00D23302">
        <w:rPr>
          <w:rFonts w:hint="eastAsia"/>
        </w:rPr>
        <w:t>公共建筑：将传统的建筑风格与现代建筑风格相结合。</w:t>
      </w:r>
      <w:r>
        <w:rPr>
          <w:rFonts w:hint="eastAsia"/>
        </w:rPr>
        <w:t>屋顶采用坡屋顶，立面颜色采用灰色、暖色调，立面材质选用灰色的干挂石材和增强水泥纤维板局部采用木饰、砖雕、木雕的元素加以点缀。墙身雕饰图案可适当精炼，利用砖雕木雕元素，形成特色的立面装饰，体现临夏建筑文化。</w:t>
      </w:r>
    </w:p>
    <w:p w:rsidR="00297F67" w:rsidRPr="00D23302" w:rsidRDefault="00297F67" w:rsidP="00027051">
      <w:pPr>
        <w:ind w:firstLineChars="202" w:firstLine="424"/>
      </w:pPr>
      <w:r>
        <w:rPr>
          <w:rFonts w:hint="eastAsia"/>
        </w:rPr>
        <w:t>居住建筑：建议采用卷棚屋顶、弧形山墙进行屋顶装饰，对一些复杂的屋顶进行简化，均采用四坡、两坡。坡面采用灰瓦，居住建筑的立面主色调应以素雅颜色为主，如灰色、暖色调等，局部可用深灰色，木色等协调色进行点缀。立面材质可选用真石漆、干挂石材和增强水泥纤维板，局部点缀临夏特色木雕、砖雕。</w:t>
      </w:r>
    </w:p>
    <w:sectPr w:rsidR="00297F67" w:rsidRPr="00D23302" w:rsidSect="00273EB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F67" w:rsidRDefault="00297F67" w:rsidP="008E312C">
      <w:r>
        <w:separator/>
      </w:r>
    </w:p>
  </w:endnote>
  <w:endnote w:type="continuationSeparator" w:id="0">
    <w:p w:rsidR="00297F67" w:rsidRDefault="00297F67" w:rsidP="008E312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细黑">
    <w:altName w:val="微软雅黑"/>
    <w:panose1 w:val="00000000000000000000"/>
    <w:charset w:val="86"/>
    <w:family w:val="auto"/>
    <w:notTrueType/>
    <w:pitch w:val="variable"/>
    <w:sig w:usb0="00000287" w:usb1="080E0000" w:usb2="00000010" w:usb3="00000000" w:csb0="0004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F67" w:rsidRDefault="00297F67" w:rsidP="008E312C">
      <w:r>
        <w:separator/>
      </w:r>
    </w:p>
  </w:footnote>
  <w:footnote w:type="continuationSeparator" w:id="0">
    <w:p w:rsidR="00297F67" w:rsidRDefault="00297F67" w:rsidP="008E312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4BB9"/>
    <w:rsid w:val="00010BDF"/>
    <w:rsid w:val="00027051"/>
    <w:rsid w:val="00080A9D"/>
    <w:rsid w:val="00097F9F"/>
    <w:rsid w:val="000E2EAA"/>
    <w:rsid w:val="000F485F"/>
    <w:rsid w:val="00143E4F"/>
    <w:rsid w:val="00206E73"/>
    <w:rsid w:val="002349A0"/>
    <w:rsid w:val="00273EB1"/>
    <w:rsid w:val="00297F67"/>
    <w:rsid w:val="002A4BB9"/>
    <w:rsid w:val="00307DD2"/>
    <w:rsid w:val="00337191"/>
    <w:rsid w:val="0033738F"/>
    <w:rsid w:val="00356D6E"/>
    <w:rsid w:val="00460831"/>
    <w:rsid w:val="004B5379"/>
    <w:rsid w:val="0059705E"/>
    <w:rsid w:val="00605B3E"/>
    <w:rsid w:val="00650AD3"/>
    <w:rsid w:val="006512B0"/>
    <w:rsid w:val="00696351"/>
    <w:rsid w:val="00703125"/>
    <w:rsid w:val="00715538"/>
    <w:rsid w:val="00786449"/>
    <w:rsid w:val="008C6401"/>
    <w:rsid w:val="008E312C"/>
    <w:rsid w:val="00910A58"/>
    <w:rsid w:val="009B6679"/>
    <w:rsid w:val="009C245F"/>
    <w:rsid w:val="00A3626F"/>
    <w:rsid w:val="00AD541E"/>
    <w:rsid w:val="00AE1A4D"/>
    <w:rsid w:val="00BE74B7"/>
    <w:rsid w:val="00CA2F4A"/>
    <w:rsid w:val="00CC3EC8"/>
    <w:rsid w:val="00CD02FE"/>
    <w:rsid w:val="00D11027"/>
    <w:rsid w:val="00D23302"/>
    <w:rsid w:val="00D51ACF"/>
    <w:rsid w:val="00D57460"/>
    <w:rsid w:val="00D7239F"/>
    <w:rsid w:val="00D92F30"/>
    <w:rsid w:val="00DA1295"/>
    <w:rsid w:val="00DA6C05"/>
    <w:rsid w:val="00E11784"/>
    <w:rsid w:val="00E159D4"/>
    <w:rsid w:val="00E717E2"/>
    <w:rsid w:val="00F9339A"/>
    <w:rsid w:val="00FE37A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EB1"/>
    <w:pPr>
      <w:widowControl w:val="0"/>
      <w:jc w:val="both"/>
    </w:pPr>
  </w:style>
  <w:style w:type="paragraph" w:styleId="Heading1">
    <w:name w:val="heading 1"/>
    <w:basedOn w:val="Normal"/>
    <w:next w:val="Normal"/>
    <w:link w:val="Heading1Char"/>
    <w:uiPriority w:val="99"/>
    <w:qFormat/>
    <w:rsid w:val="00CC3EC8"/>
    <w:pPr>
      <w:ind w:firstLineChars="202" w:firstLine="426"/>
      <w:outlineLvl w:val="0"/>
    </w:pPr>
    <w:rPr>
      <w:b/>
    </w:rPr>
  </w:style>
  <w:style w:type="paragraph" w:styleId="Heading2">
    <w:name w:val="heading 2"/>
    <w:basedOn w:val="Normal"/>
    <w:next w:val="Normal"/>
    <w:link w:val="Heading2Char"/>
    <w:uiPriority w:val="99"/>
    <w:qFormat/>
    <w:rsid w:val="00CC3EC8"/>
    <w:pPr>
      <w:ind w:firstLineChars="202" w:firstLine="426"/>
      <w:outlineLvl w:val="1"/>
    </w:pPr>
    <w:rPr>
      <w:b/>
    </w:rPr>
  </w:style>
  <w:style w:type="paragraph" w:styleId="Heading3">
    <w:name w:val="heading 3"/>
    <w:basedOn w:val="Normal"/>
    <w:next w:val="Normal"/>
    <w:link w:val="Heading3Char"/>
    <w:uiPriority w:val="99"/>
    <w:qFormat/>
    <w:rsid w:val="00CC3EC8"/>
    <w:pPr>
      <w:ind w:firstLineChars="202" w:firstLine="426"/>
      <w:outlineLvl w:val="2"/>
    </w:pPr>
    <w:rPr>
      <w: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3EC8"/>
    <w:rPr>
      <w:rFonts w:cs="Times New Roman"/>
      <w:b/>
    </w:rPr>
  </w:style>
  <w:style w:type="character" w:customStyle="1" w:styleId="Heading2Char">
    <w:name w:val="Heading 2 Char"/>
    <w:basedOn w:val="DefaultParagraphFont"/>
    <w:link w:val="Heading2"/>
    <w:uiPriority w:val="99"/>
    <w:locked/>
    <w:rsid w:val="00CC3EC8"/>
    <w:rPr>
      <w:rFonts w:cs="Times New Roman"/>
      <w:b/>
    </w:rPr>
  </w:style>
  <w:style w:type="character" w:customStyle="1" w:styleId="Heading3Char">
    <w:name w:val="Heading 3 Char"/>
    <w:basedOn w:val="DefaultParagraphFont"/>
    <w:link w:val="Heading3"/>
    <w:uiPriority w:val="99"/>
    <w:locked/>
    <w:rsid w:val="00CC3EC8"/>
    <w:rPr>
      <w:rFonts w:cs="Times New Roman"/>
      <w:b/>
    </w:rPr>
  </w:style>
  <w:style w:type="paragraph" w:styleId="BalloonText">
    <w:name w:val="Balloon Text"/>
    <w:basedOn w:val="Normal"/>
    <w:link w:val="BalloonTextChar"/>
    <w:uiPriority w:val="99"/>
    <w:semiHidden/>
    <w:rsid w:val="00D7239F"/>
    <w:rPr>
      <w:sz w:val="18"/>
      <w:szCs w:val="18"/>
    </w:rPr>
  </w:style>
  <w:style w:type="character" w:customStyle="1" w:styleId="BalloonTextChar">
    <w:name w:val="Balloon Text Char"/>
    <w:basedOn w:val="DefaultParagraphFont"/>
    <w:link w:val="BalloonText"/>
    <w:uiPriority w:val="99"/>
    <w:semiHidden/>
    <w:locked/>
    <w:rsid w:val="00D7239F"/>
    <w:rPr>
      <w:rFonts w:cs="Times New Roman"/>
      <w:sz w:val="18"/>
      <w:szCs w:val="18"/>
    </w:rPr>
  </w:style>
  <w:style w:type="paragraph" w:styleId="Header">
    <w:name w:val="header"/>
    <w:basedOn w:val="Normal"/>
    <w:link w:val="HeaderChar"/>
    <w:uiPriority w:val="99"/>
    <w:rsid w:val="008E312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8E312C"/>
    <w:rPr>
      <w:rFonts w:cs="Times New Roman"/>
      <w:sz w:val="18"/>
      <w:szCs w:val="18"/>
    </w:rPr>
  </w:style>
  <w:style w:type="paragraph" w:styleId="Footer">
    <w:name w:val="footer"/>
    <w:basedOn w:val="Normal"/>
    <w:link w:val="FooterChar"/>
    <w:uiPriority w:val="99"/>
    <w:rsid w:val="008E312C"/>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8E312C"/>
    <w:rPr>
      <w:rFonts w:cs="Times New Roman"/>
      <w:sz w:val="18"/>
      <w:szCs w:val="18"/>
    </w:rPr>
  </w:style>
  <w:style w:type="paragraph" w:styleId="NormalWeb">
    <w:name w:val="Normal (Web)"/>
    <w:basedOn w:val="Normal"/>
    <w:uiPriority w:val="99"/>
    <w:semiHidden/>
    <w:rsid w:val="00AE1A4D"/>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124040664">
      <w:marLeft w:val="0"/>
      <w:marRight w:val="0"/>
      <w:marTop w:val="0"/>
      <w:marBottom w:val="0"/>
      <w:divBdr>
        <w:top w:val="none" w:sz="0" w:space="0" w:color="auto"/>
        <w:left w:val="none" w:sz="0" w:space="0" w:color="auto"/>
        <w:bottom w:val="none" w:sz="0" w:space="0" w:color="auto"/>
        <w:right w:val="none" w:sz="0" w:space="0" w:color="auto"/>
      </w:divBdr>
    </w:div>
    <w:div w:id="1124040665">
      <w:marLeft w:val="0"/>
      <w:marRight w:val="0"/>
      <w:marTop w:val="0"/>
      <w:marBottom w:val="0"/>
      <w:divBdr>
        <w:top w:val="none" w:sz="0" w:space="0" w:color="auto"/>
        <w:left w:val="none" w:sz="0" w:space="0" w:color="auto"/>
        <w:bottom w:val="none" w:sz="0" w:space="0" w:color="auto"/>
        <w:right w:val="none" w:sz="0" w:space="0" w:color="auto"/>
      </w:divBdr>
    </w:div>
    <w:div w:id="1124040666">
      <w:marLeft w:val="0"/>
      <w:marRight w:val="0"/>
      <w:marTop w:val="0"/>
      <w:marBottom w:val="0"/>
      <w:divBdr>
        <w:top w:val="none" w:sz="0" w:space="0" w:color="auto"/>
        <w:left w:val="none" w:sz="0" w:space="0" w:color="auto"/>
        <w:bottom w:val="none" w:sz="0" w:space="0" w:color="auto"/>
        <w:right w:val="none" w:sz="0" w:space="0" w:color="auto"/>
      </w:divBdr>
    </w:div>
    <w:div w:id="1124040667">
      <w:marLeft w:val="0"/>
      <w:marRight w:val="0"/>
      <w:marTop w:val="0"/>
      <w:marBottom w:val="0"/>
      <w:divBdr>
        <w:top w:val="none" w:sz="0" w:space="0" w:color="auto"/>
        <w:left w:val="none" w:sz="0" w:space="0" w:color="auto"/>
        <w:bottom w:val="none" w:sz="0" w:space="0" w:color="auto"/>
        <w:right w:val="none" w:sz="0" w:space="0" w:color="auto"/>
      </w:divBdr>
    </w:div>
    <w:div w:id="1124040668">
      <w:marLeft w:val="0"/>
      <w:marRight w:val="0"/>
      <w:marTop w:val="0"/>
      <w:marBottom w:val="0"/>
      <w:divBdr>
        <w:top w:val="none" w:sz="0" w:space="0" w:color="auto"/>
        <w:left w:val="none" w:sz="0" w:space="0" w:color="auto"/>
        <w:bottom w:val="none" w:sz="0" w:space="0" w:color="auto"/>
        <w:right w:val="none" w:sz="0" w:space="0" w:color="auto"/>
      </w:divBdr>
    </w:div>
    <w:div w:id="1124040669">
      <w:marLeft w:val="0"/>
      <w:marRight w:val="0"/>
      <w:marTop w:val="0"/>
      <w:marBottom w:val="0"/>
      <w:divBdr>
        <w:top w:val="none" w:sz="0" w:space="0" w:color="auto"/>
        <w:left w:val="none" w:sz="0" w:space="0" w:color="auto"/>
        <w:bottom w:val="none" w:sz="0" w:space="0" w:color="auto"/>
        <w:right w:val="none" w:sz="0" w:space="0" w:color="auto"/>
      </w:divBdr>
    </w:div>
    <w:div w:id="1124040670">
      <w:marLeft w:val="0"/>
      <w:marRight w:val="0"/>
      <w:marTop w:val="0"/>
      <w:marBottom w:val="0"/>
      <w:divBdr>
        <w:top w:val="none" w:sz="0" w:space="0" w:color="auto"/>
        <w:left w:val="none" w:sz="0" w:space="0" w:color="auto"/>
        <w:bottom w:val="none" w:sz="0" w:space="0" w:color="auto"/>
        <w:right w:val="none" w:sz="0" w:space="0" w:color="auto"/>
      </w:divBdr>
    </w:div>
    <w:div w:id="1124040671">
      <w:marLeft w:val="0"/>
      <w:marRight w:val="0"/>
      <w:marTop w:val="0"/>
      <w:marBottom w:val="0"/>
      <w:divBdr>
        <w:top w:val="none" w:sz="0" w:space="0" w:color="auto"/>
        <w:left w:val="none" w:sz="0" w:space="0" w:color="auto"/>
        <w:bottom w:val="none" w:sz="0" w:space="0" w:color="auto"/>
        <w:right w:val="none" w:sz="0" w:space="0" w:color="auto"/>
      </w:divBdr>
    </w:div>
    <w:div w:id="1124040672">
      <w:marLeft w:val="0"/>
      <w:marRight w:val="0"/>
      <w:marTop w:val="0"/>
      <w:marBottom w:val="0"/>
      <w:divBdr>
        <w:top w:val="none" w:sz="0" w:space="0" w:color="auto"/>
        <w:left w:val="none" w:sz="0" w:space="0" w:color="auto"/>
        <w:bottom w:val="none" w:sz="0" w:space="0" w:color="auto"/>
        <w:right w:val="none" w:sz="0" w:space="0" w:color="auto"/>
      </w:divBdr>
    </w:div>
    <w:div w:id="1124040673">
      <w:marLeft w:val="0"/>
      <w:marRight w:val="0"/>
      <w:marTop w:val="0"/>
      <w:marBottom w:val="0"/>
      <w:divBdr>
        <w:top w:val="none" w:sz="0" w:space="0" w:color="auto"/>
        <w:left w:val="none" w:sz="0" w:space="0" w:color="auto"/>
        <w:bottom w:val="none" w:sz="0" w:space="0" w:color="auto"/>
        <w:right w:val="none" w:sz="0" w:space="0" w:color="auto"/>
      </w:divBdr>
    </w:div>
    <w:div w:id="1124040674">
      <w:marLeft w:val="0"/>
      <w:marRight w:val="0"/>
      <w:marTop w:val="0"/>
      <w:marBottom w:val="0"/>
      <w:divBdr>
        <w:top w:val="none" w:sz="0" w:space="0" w:color="auto"/>
        <w:left w:val="none" w:sz="0" w:space="0" w:color="auto"/>
        <w:bottom w:val="none" w:sz="0" w:space="0" w:color="auto"/>
        <w:right w:val="none" w:sz="0" w:space="0" w:color="auto"/>
      </w:divBdr>
    </w:div>
    <w:div w:id="1124040675">
      <w:marLeft w:val="0"/>
      <w:marRight w:val="0"/>
      <w:marTop w:val="0"/>
      <w:marBottom w:val="0"/>
      <w:divBdr>
        <w:top w:val="none" w:sz="0" w:space="0" w:color="auto"/>
        <w:left w:val="none" w:sz="0" w:space="0" w:color="auto"/>
        <w:bottom w:val="none" w:sz="0" w:space="0" w:color="auto"/>
        <w:right w:val="none" w:sz="0" w:space="0" w:color="auto"/>
      </w:divBdr>
    </w:div>
    <w:div w:id="1124040676">
      <w:marLeft w:val="0"/>
      <w:marRight w:val="0"/>
      <w:marTop w:val="0"/>
      <w:marBottom w:val="0"/>
      <w:divBdr>
        <w:top w:val="none" w:sz="0" w:space="0" w:color="auto"/>
        <w:left w:val="none" w:sz="0" w:space="0" w:color="auto"/>
        <w:bottom w:val="none" w:sz="0" w:space="0" w:color="auto"/>
        <w:right w:val="none" w:sz="0" w:space="0" w:color="auto"/>
      </w:divBdr>
    </w:div>
    <w:div w:id="1124040677">
      <w:marLeft w:val="0"/>
      <w:marRight w:val="0"/>
      <w:marTop w:val="0"/>
      <w:marBottom w:val="0"/>
      <w:divBdr>
        <w:top w:val="none" w:sz="0" w:space="0" w:color="auto"/>
        <w:left w:val="none" w:sz="0" w:space="0" w:color="auto"/>
        <w:bottom w:val="none" w:sz="0" w:space="0" w:color="auto"/>
        <w:right w:val="none" w:sz="0" w:space="0" w:color="auto"/>
      </w:divBdr>
    </w:div>
    <w:div w:id="11240406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886</TotalTime>
  <Pages>12</Pages>
  <Words>921</Words>
  <Characters>5250</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xbany</dc:creator>
  <cp:keywords/>
  <dc:description/>
  <cp:lastModifiedBy>微软用户</cp:lastModifiedBy>
  <cp:revision>8</cp:revision>
  <dcterms:created xsi:type="dcterms:W3CDTF">2018-10-15T02:23:00Z</dcterms:created>
  <dcterms:modified xsi:type="dcterms:W3CDTF">2018-10-22T08:11:00Z</dcterms:modified>
</cp:coreProperties>
</file>