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E0" w:rsidRDefault="008B69E0">
      <w:pPr>
        <w:jc w:val="center"/>
        <w:rPr>
          <w:rFonts w:ascii="华文细黑" w:eastAsia="华文细黑"/>
          <w:b/>
          <w:sz w:val="32"/>
          <w:szCs w:val="32"/>
        </w:rPr>
      </w:pPr>
      <w:r>
        <w:rPr>
          <w:rFonts w:ascii="华文细黑" w:hAnsi="华文细黑" w:hint="eastAsia"/>
          <w:b/>
          <w:sz w:val="32"/>
          <w:szCs w:val="32"/>
        </w:rPr>
        <w:t>《临夏市污水工程专项规划</w:t>
      </w:r>
      <w:r>
        <w:rPr>
          <w:rFonts w:ascii="华文细黑" w:hAnsi="华文细黑"/>
          <w:b/>
          <w:sz w:val="32"/>
          <w:szCs w:val="32"/>
        </w:rPr>
        <w:t>(2018-2030)</w:t>
      </w:r>
      <w:r>
        <w:rPr>
          <w:rFonts w:ascii="华文细黑" w:hAnsi="华文细黑" w:hint="eastAsia"/>
          <w:b/>
          <w:sz w:val="32"/>
          <w:szCs w:val="32"/>
        </w:rPr>
        <w:t>》</w:t>
      </w:r>
    </w:p>
    <w:p w:rsidR="008B69E0" w:rsidRDefault="008B69E0" w:rsidP="0099561A">
      <w:pPr>
        <w:pStyle w:val="Heading1"/>
        <w:numPr>
          <w:ilvl w:val="0"/>
          <w:numId w:val="1"/>
        </w:numPr>
        <w:spacing w:beforeLines="200" w:afterLines="100" w:line="288" w:lineRule="auto"/>
        <w:jc w:val="both"/>
      </w:pPr>
      <w:r>
        <w:rPr>
          <w:rFonts w:hint="eastAsia"/>
        </w:rPr>
        <w:t>总则</w:t>
      </w:r>
    </w:p>
    <w:p w:rsidR="008B69E0" w:rsidRDefault="008B69E0" w:rsidP="0099561A">
      <w:pPr>
        <w:numPr>
          <w:ilvl w:val="0"/>
          <w:numId w:val="2"/>
        </w:numPr>
        <w:tabs>
          <w:tab w:val="clear" w:pos="810"/>
          <w:tab w:val="left" w:pos="1260"/>
        </w:tabs>
        <w:spacing w:beforeLines="50" w:line="288" w:lineRule="auto"/>
        <w:ind w:left="1259" w:hanging="1259"/>
        <w:rPr>
          <w:rFonts w:ascii="宋体"/>
          <w:sz w:val="24"/>
        </w:rPr>
      </w:pPr>
      <w:r>
        <w:rPr>
          <w:rFonts w:ascii="宋体" w:hAnsi="宋体" w:hint="eastAsia"/>
          <w:b/>
          <w:sz w:val="24"/>
        </w:rPr>
        <w:t>编制目的</w:t>
      </w:r>
    </w:p>
    <w:p w:rsidR="008B69E0" w:rsidRDefault="008B69E0">
      <w:pPr>
        <w:spacing w:line="360" w:lineRule="auto"/>
        <w:ind w:firstLineChars="200" w:firstLine="480"/>
        <w:rPr>
          <w:sz w:val="24"/>
        </w:rPr>
      </w:pPr>
      <w:r>
        <w:rPr>
          <w:rFonts w:hint="eastAsia"/>
          <w:sz w:val="24"/>
        </w:rPr>
        <w:t>近年来，临夏市经济社会迅猛发展，城市经济实力不断增强，城市建设速度进一步加快，随着城市化水平的提高，城镇人口大幅度提高，城市面貌日新月异。城市道路网骨架已基本形成，建成区规模不断扩大，但城市的基础设施建设落后于城市发展，污水处理厂的规模、污水管网的建设已经对城市的发展造成了制约。因此迫切需要有全面系统的污水专项规划，来统筹规划全市污水系统的建设，以保护临夏市的生态环境和人居环境。</w:t>
      </w:r>
    </w:p>
    <w:p w:rsidR="008B69E0" w:rsidRDefault="008B69E0" w:rsidP="0099561A">
      <w:pPr>
        <w:numPr>
          <w:ilvl w:val="0"/>
          <w:numId w:val="2"/>
        </w:numPr>
        <w:tabs>
          <w:tab w:val="clear" w:pos="810"/>
          <w:tab w:val="left" w:pos="1260"/>
        </w:tabs>
        <w:spacing w:beforeLines="50" w:line="288" w:lineRule="auto"/>
        <w:ind w:left="1259" w:hanging="1259"/>
        <w:rPr>
          <w:rFonts w:ascii="宋体"/>
          <w:b/>
          <w:sz w:val="24"/>
        </w:rPr>
      </w:pPr>
      <w:r>
        <w:rPr>
          <w:rFonts w:ascii="宋体" w:hAnsi="宋体" w:hint="eastAsia"/>
          <w:b/>
          <w:sz w:val="24"/>
        </w:rPr>
        <w:t>规划期限</w:t>
      </w:r>
    </w:p>
    <w:p w:rsidR="008B69E0" w:rsidRDefault="008B69E0">
      <w:pPr>
        <w:spacing w:line="360" w:lineRule="auto"/>
        <w:ind w:firstLineChars="200" w:firstLine="480"/>
        <w:rPr>
          <w:sz w:val="24"/>
        </w:rPr>
      </w:pPr>
      <w:r>
        <w:rPr>
          <w:rFonts w:hint="eastAsia"/>
          <w:sz w:val="24"/>
        </w:rPr>
        <w:t>本次污水专项规划期限与现行《总规》保持一致</w:t>
      </w:r>
    </w:p>
    <w:p w:rsidR="008B69E0" w:rsidRDefault="008B69E0">
      <w:pPr>
        <w:spacing w:line="360" w:lineRule="auto"/>
        <w:ind w:firstLineChars="200" w:firstLine="480"/>
        <w:rPr>
          <w:sz w:val="24"/>
        </w:rPr>
      </w:pPr>
      <w:r>
        <w:rPr>
          <w:rFonts w:hint="eastAsia"/>
          <w:sz w:val="24"/>
        </w:rPr>
        <w:t>规划基年为</w:t>
      </w:r>
      <w:r>
        <w:rPr>
          <w:sz w:val="24"/>
        </w:rPr>
        <w:t>2018</w:t>
      </w:r>
      <w:r>
        <w:rPr>
          <w:rFonts w:hint="eastAsia"/>
          <w:sz w:val="24"/>
        </w:rPr>
        <w:t>，近期</w:t>
      </w:r>
      <w:r>
        <w:rPr>
          <w:sz w:val="24"/>
        </w:rPr>
        <w:t>2018-2020</w:t>
      </w:r>
      <w:r>
        <w:rPr>
          <w:rFonts w:hint="eastAsia"/>
          <w:sz w:val="24"/>
        </w:rPr>
        <w:t>，远期</w:t>
      </w:r>
      <w:r>
        <w:rPr>
          <w:sz w:val="24"/>
        </w:rPr>
        <w:t>2021-2030</w:t>
      </w:r>
      <w:r>
        <w:rPr>
          <w:rFonts w:hint="eastAsia"/>
          <w:sz w:val="24"/>
        </w:rPr>
        <w:t>年。</w:t>
      </w:r>
    </w:p>
    <w:p w:rsidR="008B69E0" w:rsidRDefault="008B69E0" w:rsidP="0099561A">
      <w:pPr>
        <w:numPr>
          <w:ilvl w:val="0"/>
          <w:numId w:val="2"/>
        </w:numPr>
        <w:tabs>
          <w:tab w:val="clear" w:pos="810"/>
          <w:tab w:val="left" w:pos="1260"/>
        </w:tabs>
        <w:spacing w:beforeLines="50" w:line="288" w:lineRule="auto"/>
        <w:ind w:left="1259" w:hanging="1259"/>
        <w:rPr>
          <w:rFonts w:ascii="宋体"/>
          <w:b/>
          <w:sz w:val="24"/>
        </w:rPr>
      </w:pPr>
      <w:r>
        <w:rPr>
          <w:rFonts w:ascii="宋体" w:hAnsi="宋体" w:hint="eastAsia"/>
          <w:b/>
          <w:sz w:val="24"/>
        </w:rPr>
        <w:t>规划范围</w:t>
      </w:r>
    </w:p>
    <w:p w:rsidR="008B69E0" w:rsidRDefault="008B69E0">
      <w:pPr>
        <w:spacing w:line="360" w:lineRule="auto"/>
        <w:ind w:firstLineChars="200" w:firstLine="480"/>
        <w:rPr>
          <w:sz w:val="24"/>
        </w:rPr>
      </w:pPr>
      <w:r>
        <w:rPr>
          <w:rFonts w:hint="eastAsia"/>
          <w:sz w:val="24"/>
        </w:rPr>
        <w:t>本次专项规划的范围为：北至环城北路，东至临夏市东侧边界、规划</w:t>
      </w:r>
      <w:r>
        <w:rPr>
          <w:sz w:val="24"/>
        </w:rPr>
        <w:t>G568</w:t>
      </w:r>
      <w:r>
        <w:rPr>
          <w:rFonts w:hint="eastAsia"/>
          <w:sz w:val="24"/>
        </w:rPr>
        <w:t>（原</w:t>
      </w:r>
      <w:r>
        <w:rPr>
          <w:sz w:val="24"/>
        </w:rPr>
        <w:t>G213</w:t>
      </w:r>
      <w:r>
        <w:rPr>
          <w:rFonts w:hint="eastAsia"/>
          <w:sz w:val="24"/>
        </w:rPr>
        <w:t>），南至折双路、规划</w:t>
      </w:r>
      <w:r>
        <w:rPr>
          <w:sz w:val="24"/>
        </w:rPr>
        <w:t>G568</w:t>
      </w:r>
      <w:r>
        <w:rPr>
          <w:rFonts w:hint="eastAsia"/>
          <w:sz w:val="24"/>
        </w:rPr>
        <w:t>（原</w:t>
      </w:r>
      <w:r>
        <w:rPr>
          <w:sz w:val="24"/>
        </w:rPr>
        <w:t>G213</w:t>
      </w:r>
      <w:r>
        <w:rPr>
          <w:rFonts w:hint="eastAsia"/>
          <w:sz w:val="24"/>
        </w:rPr>
        <w:t>）、临合高速公路、黄泥湾路、兰合铁路，西至分洪渠路，总面积约</w:t>
      </w:r>
      <w:r>
        <w:rPr>
          <w:sz w:val="24"/>
        </w:rPr>
        <w:t>68.23</w:t>
      </w:r>
      <w:r>
        <w:rPr>
          <w:rFonts w:hint="eastAsia"/>
          <w:sz w:val="24"/>
        </w:rPr>
        <w:t>平方公里。</w:t>
      </w:r>
    </w:p>
    <w:p w:rsidR="008B69E0" w:rsidRDefault="008B69E0" w:rsidP="0099561A">
      <w:pPr>
        <w:numPr>
          <w:ilvl w:val="0"/>
          <w:numId w:val="2"/>
        </w:numPr>
        <w:tabs>
          <w:tab w:val="clear" w:pos="810"/>
          <w:tab w:val="left" w:pos="1260"/>
        </w:tabs>
        <w:spacing w:beforeLines="50" w:line="288" w:lineRule="auto"/>
        <w:ind w:left="1259" w:hanging="1259"/>
        <w:rPr>
          <w:rFonts w:ascii="宋体"/>
          <w:b/>
          <w:sz w:val="24"/>
        </w:rPr>
      </w:pPr>
      <w:r>
        <w:rPr>
          <w:rFonts w:ascii="宋体" w:hAnsi="宋体" w:hint="eastAsia"/>
          <w:b/>
          <w:sz w:val="24"/>
        </w:rPr>
        <w:t>规划原则</w:t>
      </w:r>
    </w:p>
    <w:p w:rsidR="008B69E0" w:rsidRDefault="008B69E0">
      <w:pPr>
        <w:spacing w:line="360" w:lineRule="auto"/>
        <w:ind w:firstLineChars="200" w:firstLine="480"/>
        <w:rPr>
          <w:sz w:val="24"/>
        </w:rPr>
      </w:pPr>
      <w:r>
        <w:rPr>
          <w:rFonts w:hint="eastAsia"/>
          <w:sz w:val="24"/>
        </w:rPr>
        <w:t>本次污水工程专项规划应遵循以下原则：近远期结合原则；经济合理性原则；相关性原则；可持续发展原则。</w:t>
      </w:r>
    </w:p>
    <w:p w:rsidR="008B69E0" w:rsidRDefault="008B69E0" w:rsidP="0099561A">
      <w:pPr>
        <w:numPr>
          <w:ilvl w:val="0"/>
          <w:numId w:val="2"/>
        </w:numPr>
        <w:tabs>
          <w:tab w:val="clear" w:pos="810"/>
          <w:tab w:val="left" w:pos="1260"/>
        </w:tabs>
        <w:spacing w:beforeLines="50" w:line="288" w:lineRule="auto"/>
        <w:ind w:left="1259" w:hanging="1259"/>
        <w:rPr>
          <w:rFonts w:ascii="宋体"/>
          <w:b/>
          <w:sz w:val="24"/>
        </w:rPr>
      </w:pPr>
      <w:r>
        <w:rPr>
          <w:rFonts w:ascii="宋体" w:hAnsi="宋体" w:hint="eastAsia"/>
          <w:b/>
          <w:sz w:val="24"/>
        </w:rPr>
        <w:t>规划目标</w:t>
      </w:r>
    </w:p>
    <w:p w:rsidR="008B69E0" w:rsidRDefault="008B69E0">
      <w:pPr>
        <w:spacing w:line="360" w:lineRule="auto"/>
        <w:ind w:firstLineChars="200" w:firstLine="480"/>
        <w:rPr>
          <w:sz w:val="24"/>
        </w:rPr>
      </w:pPr>
      <w:r>
        <w:rPr>
          <w:rFonts w:hint="eastAsia"/>
          <w:sz w:val="24"/>
        </w:rPr>
        <w:t>近期建成区内污水管网覆盖率达到</w:t>
      </w:r>
      <w:r>
        <w:rPr>
          <w:sz w:val="24"/>
        </w:rPr>
        <w:t>90%</w:t>
      </w:r>
      <w:r>
        <w:rPr>
          <w:rFonts w:hint="eastAsia"/>
          <w:sz w:val="24"/>
        </w:rPr>
        <w:t>以上，污水收集率达到</w:t>
      </w:r>
      <w:r>
        <w:rPr>
          <w:sz w:val="24"/>
        </w:rPr>
        <w:t>90%</w:t>
      </w:r>
      <w:r>
        <w:rPr>
          <w:rFonts w:hint="eastAsia"/>
          <w:sz w:val="24"/>
        </w:rPr>
        <w:t>，污水处理率达到</w:t>
      </w:r>
      <w:r>
        <w:rPr>
          <w:sz w:val="24"/>
        </w:rPr>
        <w:t>90%</w:t>
      </w:r>
      <w:r>
        <w:rPr>
          <w:rFonts w:hint="eastAsia"/>
          <w:sz w:val="24"/>
        </w:rPr>
        <w:t>以上；远期建成区污水管网覆盖率达到</w:t>
      </w:r>
      <w:r>
        <w:rPr>
          <w:sz w:val="24"/>
        </w:rPr>
        <w:t>95%</w:t>
      </w:r>
      <w:r>
        <w:rPr>
          <w:rFonts w:hint="eastAsia"/>
          <w:sz w:val="24"/>
        </w:rPr>
        <w:t>以上，污水收集率达到</w:t>
      </w:r>
      <w:r>
        <w:rPr>
          <w:sz w:val="24"/>
        </w:rPr>
        <w:t>95%</w:t>
      </w:r>
      <w:r>
        <w:rPr>
          <w:rFonts w:hint="eastAsia"/>
          <w:sz w:val="24"/>
        </w:rPr>
        <w:t>，污水处理率达到</w:t>
      </w:r>
      <w:r>
        <w:rPr>
          <w:sz w:val="24"/>
        </w:rPr>
        <w:t>95%</w:t>
      </w:r>
      <w:r>
        <w:rPr>
          <w:rFonts w:hint="eastAsia"/>
          <w:sz w:val="24"/>
        </w:rPr>
        <w:t>以上。计算得出近期污水处理规模为</w:t>
      </w:r>
      <w:r>
        <w:rPr>
          <w:sz w:val="24"/>
        </w:rPr>
        <w:t>8.12</w:t>
      </w:r>
      <w:r>
        <w:rPr>
          <w:rFonts w:hint="eastAsia"/>
          <w:sz w:val="24"/>
        </w:rPr>
        <w:t>万</w:t>
      </w:r>
      <w:r>
        <w:rPr>
          <w:sz w:val="24"/>
        </w:rPr>
        <w:t>m</w:t>
      </w:r>
      <w:r>
        <w:rPr>
          <w:rFonts w:hint="eastAsia"/>
          <w:sz w:val="24"/>
        </w:rPr>
        <w:t>³</w:t>
      </w:r>
      <w:r>
        <w:rPr>
          <w:sz w:val="24"/>
        </w:rPr>
        <w:t>/d</w:t>
      </w:r>
      <w:r>
        <w:rPr>
          <w:rFonts w:hint="eastAsia"/>
          <w:sz w:val="24"/>
        </w:rPr>
        <w:t>，远期污水处理规模为</w:t>
      </w:r>
      <w:r>
        <w:rPr>
          <w:sz w:val="24"/>
        </w:rPr>
        <w:t>10.05</w:t>
      </w:r>
      <w:r>
        <w:rPr>
          <w:rFonts w:hint="eastAsia"/>
          <w:sz w:val="24"/>
        </w:rPr>
        <w:t>万</w:t>
      </w:r>
      <w:r>
        <w:rPr>
          <w:sz w:val="24"/>
        </w:rPr>
        <w:t>m</w:t>
      </w:r>
      <w:r>
        <w:rPr>
          <w:rFonts w:hint="eastAsia"/>
          <w:sz w:val="24"/>
        </w:rPr>
        <w:t>³</w:t>
      </w:r>
      <w:r>
        <w:rPr>
          <w:sz w:val="24"/>
        </w:rPr>
        <w:t>/d</w:t>
      </w:r>
      <w:r>
        <w:rPr>
          <w:rFonts w:hint="eastAsia"/>
          <w:sz w:val="24"/>
        </w:rPr>
        <w:t>（中型污水处理厂）。</w:t>
      </w:r>
    </w:p>
    <w:p w:rsidR="008B69E0" w:rsidRDefault="008B69E0" w:rsidP="0099561A">
      <w:pPr>
        <w:numPr>
          <w:ilvl w:val="0"/>
          <w:numId w:val="2"/>
        </w:numPr>
        <w:tabs>
          <w:tab w:val="clear" w:pos="810"/>
          <w:tab w:val="left" w:pos="1260"/>
        </w:tabs>
        <w:spacing w:beforeLines="50" w:line="288" w:lineRule="auto"/>
        <w:ind w:left="1259" w:hanging="1259"/>
        <w:rPr>
          <w:rFonts w:ascii="宋体"/>
          <w:b/>
          <w:sz w:val="24"/>
        </w:rPr>
      </w:pPr>
      <w:r>
        <w:rPr>
          <w:rFonts w:ascii="宋体" w:hAnsi="宋体" w:hint="eastAsia"/>
          <w:b/>
          <w:sz w:val="24"/>
        </w:rPr>
        <w:t>主要内容</w:t>
      </w:r>
    </w:p>
    <w:p w:rsidR="008B69E0" w:rsidRDefault="008B69E0">
      <w:pPr>
        <w:pStyle w:val="ListParagraph"/>
        <w:numPr>
          <w:ilvl w:val="0"/>
          <w:numId w:val="3"/>
        </w:numPr>
        <w:spacing w:line="360" w:lineRule="auto"/>
        <w:ind w:firstLineChars="0"/>
        <w:rPr>
          <w:sz w:val="24"/>
        </w:rPr>
      </w:pPr>
      <w:r>
        <w:rPr>
          <w:rFonts w:hint="eastAsia"/>
          <w:sz w:val="24"/>
        </w:rPr>
        <w:t>排水体制</w:t>
      </w:r>
    </w:p>
    <w:p w:rsidR="008B69E0" w:rsidRDefault="008B69E0">
      <w:pPr>
        <w:spacing w:line="360" w:lineRule="auto"/>
        <w:ind w:firstLineChars="200" w:firstLine="480"/>
        <w:rPr>
          <w:sz w:val="24"/>
        </w:rPr>
      </w:pPr>
      <w:r>
        <w:rPr>
          <w:rFonts w:hint="eastAsia"/>
          <w:sz w:val="24"/>
        </w:rPr>
        <w:t>本次规划根据现状排水体制及城市未来发展需要，确定整个规划范围内均采用雨污分流制排水体制。</w:t>
      </w:r>
    </w:p>
    <w:p w:rsidR="008B69E0" w:rsidRDefault="008B69E0">
      <w:pPr>
        <w:pStyle w:val="ListParagraph"/>
        <w:numPr>
          <w:ilvl w:val="0"/>
          <w:numId w:val="3"/>
        </w:numPr>
        <w:spacing w:line="360" w:lineRule="auto"/>
        <w:ind w:firstLineChars="0"/>
        <w:rPr>
          <w:sz w:val="24"/>
        </w:rPr>
      </w:pPr>
      <w:r>
        <w:rPr>
          <w:rFonts w:hint="eastAsia"/>
          <w:sz w:val="24"/>
        </w:rPr>
        <w:t>排水分区范围</w:t>
      </w:r>
    </w:p>
    <w:p w:rsidR="008B69E0" w:rsidRDefault="008B69E0">
      <w:pPr>
        <w:spacing w:line="360" w:lineRule="auto"/>
        <w:ind w:firstLineChars="200" w:firstLine="480"/>
        <w:rPr>
          <w:sz w:val="24"/>
        </w:rPr>
      </w:pPr>
      <w:r>
        <w:rPr>
          <w:rFonts w:hint="eastAsia"/>
          <w:sz w:val="24"/>
        </w:rPr>
        <w:t>分区一：西部文化综合区，大夏河以北，城西路以西，环城北路以南，城西路以东，总面积约为</w:t>
      </w:r>
      <w:r>
        <w:rPr>
          <w:sz w:val="24"/>
        </w:rPr>
        <w:t>8.7km2</w:t>
      </w:r>
      <w:r>
        <w:rPr>
          <w:rFonts w:hint="eastAsia"/>
          <w:sz w:val="24"/>
        </w:rPr>
        <w:t>。污水经收集重力输送至现状污水处理厂处理。</w:t>
      </w:r>
    </w:p>
    <w:p w:rsidR="008B69E0" w:rsidRDefault="008B69E0">
      <w:pPr>
        <w:spacing w:line="360" w:lineRule="auto"/>
        <w:ind w:firstLineChars="200" w:firstLine="480"/>
        <w:rPr>
          <w:sz w:val="24"/>
        </w:rPr>
      </w:pPr>
      <w:r>
        <w:rPr>
          <w:rFonts w:hint="eastAsia"/>
          <w:sz w:val="24"/>
        </w:rPr>
        <w:t>分区二：老城及城东新区，大夏河以北，折桥北路以西，环城北路以南，环西路以东，总面积约为</w:t>
      </w:r>
      <w:r>
        <w:rPr>
          <w:sz w:val="24"/>
        </w:rPr>
        <w:t>24.7km2</w:t>
      </w:r>
      <w:r>
        <w:rPr>
          <w:rFonts w:hint="eastAsia"/>
          <w:sz w:val="24"/>
        </w:rPr>
        <w:t>。污水经收集重力输送至现状污水处理厂处理。</w:t>
      </w:r>
    </w:p>
    <w:p w:rsidR="008B69E0" w:rsidRDefault="008B69E0">
      <w:pPr>
        <w:spacing w:line="360" w:lineRule="auto"/>
        <w:ind w:firstLineChars="200" w:firstLine="480"/>
        <w:rPr>
          <w:sz w:val="24"/>
        </w:rPr>
      </w:pPr>
      <w:r>
        <w:rPr>
          <w:rFonts w:hint="eastAsia"/>
          <w:sz w:val="24"/>
        </w:rPr>
        <w:t>分区三：大夏河南岸区，东至刘家山，南至南龙山，西至临夏市与临夏县交界处，北至大夏河及折桥湾，规划总面积约</w:t>
      </w:r>
      <w:r>
        <w:rPr>
          <w:sz w:val="24"/>
        </w:rPr>
        <w:t>12.1km2</w:t>
      </w:r>
      <w:r>
        <w:rPr>
          <w:rFonts w:hint="eastAsia"/>
          <w:sz w:val="24"/>
        </w:rPr>
        <w:t>。污水经收集重力输送至东南污水处理厂。</w:t>
      </w:r>
    </w:p>
    <w:p w:rsidR="008B69E0" w:rsidRDefault="008B69E0">
      <w:pPr>
        <w:pStyle w:val="ListParagraph"/>
        <w:numPr>
          <w:ilvl w:val="0"/>
          <w:numId w:val="3"/>
        </w:numPr>
        <w:spacing w:line="360" w:lineRule="auto"/>
        <w:ind w:firstLineChars="0"/>
        <w:rPr>
          <w:sz w:val="24"/>
        </w:rPr>
      </w:pPr>
      <w:r>
        <w:rPr>
          <w:rFonts w:hint="eastAsia"/>
          <w:sz w:val="24"/>
        </w:rPr>
        <w:t>污水排水管网规划</w:t>
      </w:r>
    </w:p>
    <w:p w:rsidR="008B69E0" w:rsidRDefault="008B69E0">
      <w:pPr>
        <w:spacing w:line="360" w:lineRule="auto"/>
        <w:ind w:firstLineChars="200" w:firstLine="480"/>
        <w:rPr>
          <w:sz w:val="24"/>
        </w:rPr>
      </w:pPr>
      <w:r>
        <w:rPr>
          <w:rFonts w:hint="eastAsia"/>
          <w:sz w:val="24"/>
        </w:rPr>
        <w:t>保留现状污水管道，把原有可利用的合流管逐步改造为雨水管道，新建污水管道，逐步实现雨污分流制。新建管道应严格按照城市用地布局、路网规划进行设计及铺设，充分考虑城市近远期发展，统筹安排、因地制宜、合理布局，提高城市污水集中处理率。</w:t>
      </w:r>
    </w:p>
    <w:p w:rsidR="008B69E0" w:rsidRDefault="008B69E0">
      <w:pPr>
        <w:spacing w:line="360" w:lineRule="auto"/>
        <w:ind w:firstLineChars="50" w:firstLine="120"/>
        <w:rPr>
          <w:sz w:val="24"/>
        </w:rPr>
      </w:pPr>
      <w:bookmarkStart w:id="0" w:name="_Toc523824372"/>
      <w:r>
        <w:rPr>
          <w:rFonts w:hint="eastAsia"/>
          <w:sz w:val="24"/>
        </w:rPr>
        <w:t>⑷</w:t>
      </w:r>
      <w:r>
        <w:rPr>
          <w:sz w:val="24"/>
        </w:rPr>
        <w:t xml:space="preserve"> </w:t>
      </w:r>
      <w:r>
        <w:rPr>
          <w:rFonts w:hint="eastAsia"/>
          <w:sz w:val="24"/>
        </w:rPr>
        <w:t>污水处理工程规划</w:t>
      </w:r>
      <w:bookmarkEnd w:id="0"/>
    </w:p>
    <w:p w:rsidR="008B69E0" w:rsidRDefault="008B69E0">
      <w:pPr>
        <w:spacing w:line="360" w:lineRule="auto"/>
        <w:ind w:firstLineChars="200" w:firstLine="480"/>
        <w:rPr>
          <w:sz w:val="24"/>
        </w:rPr>
      </w:pPr>
      <w:r>
        <w:rPr>
          <w:rFonts w:hint="eastAsia"/>
          <w:sz w:val="24"/>
        </w:rPr>
        <w:t>临夏市现有污水厂位于东郊公园东北方向，滨河东路折桥下游</w:t>
      </w:r>
      <w:r>
        <w:rPr>
          <w:sz w:val="24"/>
        </w:rPr>
        <w:t>500m</w:t>
      </w:r>
      <w:r>
        <w:rPr>
          <w:rFonts w:hint="eastAsia"/>
          <w:sz w:val="24"/>
        </w:rPr>
        <w:t>处，于</w:t>
      </w:r>
      <w:r>
        <w:rPr>
          <w:sz w:val="24"/>
        </w:rPr>
        <w:t>2013</w:t>
      </w:r>
      <w:r>
        <w:rPr>
          <w:rFonts w:hint="eastAsia"/>
          <w:sz w:val="24"/>
        </w:rPr>
        <w:t>年正式投产，一期设计规模</w:t>
      </w:r>
      <w:r>
        <w:rPr>
          <w:sz w:val="24"/>
        </w:rPr>
        <w:t>3.0</w:t>
      </w:r>
      <w:r>
        <w:rPr>
          <w:rFonts w:hint="eastAsia"/>
          <w:sz w:val="24"/>
        </w:rPr>
        <w:t>×</w:t>
      </w:r>
      <w:r>
        <w:rPr>
          <w:sz w:val="24"/>
        </w:rPr>
        <w:t>10</w:t>
      </w:r>
      <w:r>
        <w:rPr>
          <w:sz w:val="24"/>
          <w:vertAlign w:val="superscript"/>
        </w:rPr>
        <w:t>4</w:t>
      </w:r>
      <w:r>
        <w:rPr>
          <w:sz w:val="24"/>
        </w:rPr>
        <w:t>m</w:t>
      </w:r>
      <w:r>
        <w:rPr>
          <w:sz w:val="24"/>
          <w:vertAlign w:val="superscript"/>
        </w:rPr>
        <w:t>3</w:t>
      </w:r>
      <w:r>
        <w:rPr>
          <w:sz w:val="24"/>
        </w:rPr>
        <w:t>/d</w:t>
      </w:r>
      <w:r>
        <w:rPr>
          <w:rFonts w:hint="eastAsia"/>
          <w:sz w:val="24"/>
        </w:rPr>
        <w:t>，出水标准执行“一级</w:t>
      </w:r>
      <w:r>
        <w:rPr>
          <w:sz w:val="24"/>
        </w:rPr>
        <w:t>B</w:t>
      </w:r>
      <w:r>
        <w:rPr>
          <w:rFonts w:hint="eastAsia"/>
          <w:sz w:val="24"/>
        </w:rPr>
        <w:t>”标准。</w:t>
      </w:r>
    </w:p>
    <w:p w:rsidR="008B69E0" w:rsidRDefault="008B69E0">
      <w:pPr>
        <w:spacing w:line="360" w:lineRule="auto"/>
        <w:ind w:firstLineChars="200" w:firstLine="480"/>
        <w:rPr>
          <w:sz w:val="24"/>
        </w:rPr>
      </w:pPr>
      <w:r>
        <w:rPr>
          <w:rFonts w:hint="eastAsia"/>
          <w:sz w:val="24"/>
        </w:rPr>
        <w:t>现行总规规划临夏市扩建东区污水处理厂，扩建后的处理规模达到</w:t>
      </w:r>
      <w:r>
        <w:rPr>
          <w:sz w:val="24"/>
        </w:rPr>
        <w:t>8.3</w:t>
      </w:r>
      <w:r>
        <w:rPr>
          <w:rFonts w:hint="eastAsia"/>
          <w:sz w:val="24"/>
        </w:rPr>
        <w:t>万立方米</w:t>
      </w:r>
      <w:r>
        <w:rPr>
          <w:sz w:val="24"/>
        </w:rPr>
        <w:t>/</w:t>
      </w:r>
      <w:r>
        <w:rPr>
          <w:rFonts w:hint="eastAsia"/>
          <w:sz w:val="24"/>
        </w:rPr>
        <w:t>日，远期污水处理厂的规模约</w:t>
      </w:r>
      <w:r>
        <w:rPr>
          <w:sz w:val="24"/>
        </w:rPr>
        <w:t>10.3</w:t>
      </w:r>
      <w:r>
        <w:rPr>
          <w:rFonts w:hint="eastAsia"/>
          <w:sz w:val="24"/>
        </w:rPr>
        <w:t>万立方米</w:t>
      </w:r>
      <w:r>
        <w:rPr>
          <w:sz w:val="24"/>
        </w:rPr>
        <w:t>/</w:t>
      </w:r>
      <w:r>
        <w:rPr>
          <w:rFonts w:hint="eastAsia"/>
          <w:sz w:val="24"/>
        </w:rPr>
        <w:t>日，总占地面积约为</w:t>
      </w:r>
      <w:r>
        <w:rPr>
          <w:sz w:val="24"/>
        </w:rPr>
        <w:t>10</w:t>
      </w:r>
      <w:r>
        <w:rPr>
          <w:rFonts w:hint="eastAsia"/>
          <w:sz w:val="24"/>
        </w:rPr>
        <w:t>公顷，主要处理临夏市片区及周边乡镇的污水，出水水质达到国家一级</w:t>
      </w:r>
      <w:r>
        <w:rPr>
          <w:sz w:val="24"/>
        </w:rPr>
        <w:t>A</w:t>
      </w:r>
      <w:r>
        <w:rPr>
          <w:rFonts w:hint="eastAsia"/>
          <w:sz w:val="24"/>
        </w:rPr>
        <w:t>标准。</w:t>
      </w:r>
    </w:p>
    <w:p w:rsidR="008B69E0" w:rsidRDefault="008B69E0">
      <w:pPr>
        <w:spacing w:line="360" w:lineRule="auto"/>
        <w:ind w:firstLineChars="50" w:firstLine="120"/>
        <w:rPr>
          <w:sz w:val="24"/>
        </w:rPr>
      </w:pPr>
      <w:r>
        <w:rPr>
          <w:rFonts w:hint="eastAsia"/>
          <w:sz w:val="24"/>
        </w:rPr>
        <w:t>①</w:t>
      </w:r>
      <w:r>
        <w:rPr>
          <w:sz w:val="24"/>
        </w:rPr>
        <w:t xml:space="preserve"> </w:t>
      </w:r>
      <w:r>
        <w:rPr>
          <w:rFonts w:hint="eastAsia"/>
          <w:sz w:val="24"/>
        </w:rPr>
        <w:t>污水处理厂处理工艺</w:t>
      </w:r>
    </w:p>
    <w:p w:rsidR="008B69E0" w:rsidRDefault="008B69E0">
      <w:pPr>
        <w:spacing w:line="360" w:lineRule="auto"/>
        <w:ind w:firstLineChars="200" w:firstLine="480"/>
        <w:rPr>
          <w:sz w:val="24"/>
        </w:rPr>
      </w:pPr>
      <w:r>
        <w:rPr>
          <w:rFonts w:hint="eastAsia"/>
          <w:sz w:val="24"/>
        </w:rPr>
        <w:t>根据多工艺方案比较，结合临夏实际情况及已建污水处理厂工艺，本规划建议采用氧化沟工艺或</w:t>
      </w:r>
      <w:r>
        <w:rPr>
          <w:sz w:val="24"/>
        </w:rPr>
        <w:t>A2O</w:t>
      </w:r>
      <w:r>
        <w:rPr>
          <w:rFonts w:hint="eastAsia"/>
          <w:sz w:val="24"/>
        </w:rPr>
        <w:t>工艺加深度处理工艺。</w:t>
      </w:r>
    </w:p>
    <w:p w:rsidR="008B69E0" w:rsidRDefault="008B69E0">
      <w:pPr>
        <w:spacing w:line="360" w:lineRule="auto"/>
        <w:ind w:firstLineChars="50" w:firstLine="120"/>
        <w:rPr>
          <w:sz w:val="24"/>
        </w:rPr>
      </w:pPr>
      <w:r>
        <w:rPr>
          <w:rFonts w:hint="eastAsia"/>
          <w:sz w:val="24"/>
        </w:rPr>
        <w:t>②</w:t>
      </w:r>
      <w:r>
        <w:rPr>
          <w:sz w:val="24"/>
        </w:rPr>
        <w:t xml:space="preserve"> </w:t>
      </w:r>
      <w:r>
        <w:rPr>
          <w:rFonts w:hint="eastAsia"/>
          <w:sz w:val="24"/>
        </w:rPr>
        <w:t>污泥处理处置</w:t>
      </w:r>
    </w:p>
    <w:p w:rsidR="008B69E0" w:rsidRDefault="008B69E0">
      <w:pPr>
        <w:spacing w:line="360" w:lineRule="auto"/>
        <w:ind w:firstLineChars="200" w:firstLine="480"/>
        <w:rPr>
          <w:sz w:val="24"/>
        </w:rPr>
      </w:pPr>
      <w:r>
        <w:rPr>
          <w:rFonts w:hint="eastAsia"/>
          <w:sz w:val="24"/>
        </w:rPr>
        <w:t>近期仍采用城市垃圾填埋场卫生填埋集中处置。建议在远期规划设置城市污泥集中处置场。</w:t>
      </w:r>
    </w:p>
    <w:p w:rsidR="008B69E0" w:rsidRDefault="008B69E0" w:rsidP="0099561A">
      <w:pPr>
        <w:numPr>
          <w:ilvl w:val="0"/>
          <w:numId w:val="2"/>
        </w:numPr>
        <w:tabs>
          <w:tab w:val="clear" w:pos="810"/>
          <w:tab w:val="left" w:pos="1260"/>
        </w:tabs>
        <w:spacing w:beforeLines="50" w:line="288" w:lineRule="auto"/>
        <w:ind w:left="1259" w:hanging="1259"/>
        <w:rPr>
          <w:rFonts w:ascii="宋体"/>
          <w:b/>
          <w:sz w:val="24"/>
        </w:rPr>
      </w:pPr>
      <w:bookmarkStart w:id="1" w:name="_Toc523824397"/>
      <w:r>
        <w:rPr>
          <w:rFonts w:ascii="宋体" w:hAnsi="宋体" w:hint="eastAsia"/>
          <w:b/>
          <w:sz w:val="24"/>
        </w:rPr>
        <w:t>规划的监督管理及实施</w:t>
      </w:r>
      <w:bookmarkEnd w:id="1"/>
    </w:p>
    <w:p w:rsidR="008B69E0" w:rsidRDefault="008B69E0">
      <w:pPr>
        <w:pStyle w:val="ListParagraph"/>
        <w:numPr>
          <w:ilvl w:val="0"/>
          <w:numId w:val="4"/>
        </w:numPr>
        <w:spacing w:line="360" w:lineRule="auto"/>
        <w:ind w:firstLineChars="0"/>
      </w:pPr>
      <w:r>
        <w:rPr>
          <w:rFonts w:hint="eastAsia"/>
        </w:rPr>
        <w:t>实施措施</w:t>
      </w:r>
    </w:p>
    <w:p w:rsidR="008B69E0" w:rsidRDefault="008B69E0">
      <w:pPr>
        <w:spacing w:line="360" w:lineRule="auto"/>
        <w:ind w:firstLineChars="200" w:firstLine="480"/>
        <w:rPr>
          <w:sz w:val="24"/>
        </w:rPr>
      </w:pPr>
      <w:r>
        <w:rPr>
          <w:rFonts w:hint="eastAsia"/>
          <w:sz w:val="24"/>
        </w:rPr>
        <w:t>为保护本区域内的环境和保证本区域的开发建设，为了能较好的实施污水规划，应采取以下措施：</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加大规划的宣传力度，强化规划的严肃性。在城镇建设和改造中，强调污水设施必须同步配套建设或先期建设，并制定有关制度贯彻执行，对违反规划的项目采取有力措施加以制止和纠正，确保污水设施按规划改造和建设。</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在本污水规划的指导下，进行详细规划的设计，以增加污水规划的可操作性。本区域内的所有单项污水工程建设和其它建设工程中的污水规划均应按照本规划的指导原则进行。</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应尽快颁布实施《污水设施管理条例》。号召全体居民关心和爱护污水工程和污水设施。</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制订严格措施，保证工程建设、依法履行规划报建审批手续。</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提高污水行业的地位，以引起各级政府更加重视。</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尽快建立排污及污水处理收费系统；制定合理的收费办法和标准。</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强化公用事业管理机构的职能（或单独成立水务公司），集供水、节水、污水及污水收集管理于一体，实行对水的系统、科学管理。</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雨水、污水系统应严格区分，所有管道均应设置相应的标志带，检查井井盖上应有相应的、明显的雨水或污水字样，以保证支管接入时不致混淆。</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规划中保留利用的水体是污水系统中的重要组成部分，应严格保护，任何单位和部门不得擅自占用；凡破坏、占用水面者，应承担由此引起的整个污水系统重新规划、重新建设及新增排渍泵站负荷的投资和运转费用。</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加强全社会节约用水宣传，鼓励企业进行少排或无废水排放技术改造，降低企业排污量，并要求企业废水排放达标率应达到</w:t>
      </w:r>
      <w:r>
        <w:rPr>
          <w:sz w:val="24"/>
        </w:rPr>
        <w:t>100%</w:t>
      </w:r>
      <w:r>
        <w:rPr>
          <w:rFonts w:hint="eastAsia"/>
          <w:sz w:val="24"/>
        </w:rPr>
        <w:t>。</w:t>
      </w:r>
    </w:p>
    <w:p w:rsidR="008B69E0" w:rsidRDefault="008B69E0" w:rsidP="00817D3A">
      <w:pPr>
        <w:pStyle w:val="ListParagraph"/>
        <w:numPr>
          <w:ilvl w:val="1"/>
          <w:numId w:val="5"/>
        </w:numPr>
        <w:spacing w:line="360" w:lineRule="auto"/>
        <w:ind w:left="0" w:firstLineChars="177" w:firstLine="425"/>
        <w:rPr>
          <w:sz w:val="24"/>
        </w:rPr>
      </w:pPr>
      <w:r>
        <w:rPr>
          <w:rFonts w:hint="eastAsia"/>
          <w:sz w:val="24"/>
        </w:rPr>
        <w:t>所有排入污水系统的污水都应达到《污水排入城市下水道水质标准》（</w:t>
      </w:r>
      <w:r>
        <w:rPr>
          <w:sz w:val="24"/>
        </w:rPr>
        <w:t>CJ343-2010</w:t>
      </w:r>
      <w:r>
        <w:rPr>
          <w:rFonts w:hint="eastAsia"/>
          <w:sz w:val="24"/>
        </w:rPr>
        <w:t>）的要求。</w:t>
      </w:r>
    </w:p>
    <w:p w:rsidR="008B69E0" w:rsidRDefault="008B69E0" w:rsidP="0099561A">
      <w:pPr>
        <w:numPr>
          <w:ilvl w:val="0"/>
          <w:numId w:val="2"/>
        </w:numPr>
        <w:tabs>
          <w:tab w:val="clear" w:pos="810"/>
          <w:tab w:val="left" w:pos="1260"/>
        </w:tabs>
        <w:spacing w:beforeLines="50" w:line="288" w:lineRule="auto"/>
        <w:ind w:left="1259" w:hanging="1259"/>
        <w:rPr>
          <w:rFonts w:ascii="宋体"/>
          <w:b/>
          <w:sz w:val="24"/>
        </w:rPr>
      </w:pPr>
      <w:r>
        <w:rPr>
          <w:rFonts w:ascii="宋体" w:hAnsi="宋体" w:hint="eastAsia"/>
          <w:b/>
          <w:sz w:val="24"/>
        </w:rPr>
        <w:t>管理规划</w:t>
      </w:r>
    </w:p>
    <w:p w:rsidR="008B69E0" w:rsidRDefault="008B69E0">
      <w:pPr>
        <w:spacing w:line="360" w:lineRule="auto"/>
        <w:ind w:firstLineChars="200" w:firstLine="480"/>
        <w:rPr>
          <w:sz w:val="24"/>
        </w:rPr>
      </w:pPr>
      <w:r>
        <w:rPr>
          <w:rFonts w:hint="eastAsia"/>
          <w:sz w:val="24"/>
        </w:rPr>
        <w:t>为充分管理和合理应用越来越多的排水管网信息，建立一个完整、准确的排水管网</w:t>
      </w:r>
      <w:r>
        <w:rPr>
          <w:sz w:val="24"/>
        </w:rPr>
        <w:t>GIS</w:t>
      </w:r>
      <w:r>
        <w:rPr>
          <w:rFonts w:hint="eastAsia"/>
          <w:sz w:val="24"/>
        </w:rPr>
        <w:t>系统，提高排水管网管理的效率、质量和水平，是现代城市发展的要求。城市排水管网</w:t>
      </w:r>
      <w:r>
        <w:rPr>
          <w:sz w:val="24"/>
        </w:rPr>
        <w:t>GIS</w:t>
      </w:r>
      <w:r>
        <w:rPr>
          <w:rFonts w:hint="eastAsia"/>
          <w:sz w:val="24"/>
        </w:rPr>
        <w:t>系统是融计算机图形和数据于一体，储存和处理空间信息的高新技术，它把排水管网及其附属设施的地理空间信息和相关属性信息有机结合起来，根据实际需要准确、真实、图文并茂地输出给用户，以满足市政部门对雨、污水管网及处理系统运行、设计和信息查询的要求。</w:t>
      </w:r>
    </w:p>
    <w:sectPr w:rsidR="008B69E0" w:rsidSect="002733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
    <w:panose1 w:val="02010609060101010101"/>
    <w:charset w:val="86"/>
    <w:family w:val="modern"/>
    <w:pitch w:val="fixed"/>
    <w:sig w:usb0="800002BF" w:usb1="38CF7CFA" w:usb2="00000016" w:usb3="00000000" w:csb0="00040001" w:csb1="00000000"/>
  </w:font>
  <w:font w:name="华文细黑">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multilevel"/>
    <w:tmpl w:val="00000039"/>
    <w:lvl w:ilvl="0">
      <w:start w:val="1"/>
      <w:numFmt w:val="decimal"/>
      <w:lvlText w:val="%1、"/>
      <w:lvlJc w:val="left"/>
      <w:pPr>
        <w:ind w:left="420" w:hanging="420"/>
      </w:pPr>
      <w:rPr>
        <w:rFonts w:cs="Times New Roman" w:hint="eastAsia"/>
      </w:rPr>
    </w:lvl>
    <w:lvl w:ilvl="1">
      <w:start w:val="1"/>
      <w:numFmt w:val="japaneseCounting"/>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4EB04E8"/>
    <w:multiLevelType w:val="multilevel"/>
    <w:tmpl w:val="24EB04E8"/>
    <w:lvl w:ilvl="0">
      <w:start w:val="1"/>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33DB1239"/>
    <w:multiLevelType w:val="multilevel"/>
    <w:tmpl w:val="33DB1239"/>
    <w:lvl w:ilvl="0">
      <w:start w:val="1"/>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nsid w:val="3CD27768"/>
    <w:multiLevelType w:val="multilevel"/>
    <w:tmpl w:val="3CD27768"/>
    <w:lvl w:ilvl="0">
      <w:start w:val="1"/>
      <w:numFmt w:val="decimalEnclosedCircle"/>
      <w:lvlText w:val="%1"/>
      <w:lvlJc w:val="left"/>
      <w:pPr>
        <w:ind w:left="900" w:hanging="420"/>
      </w:pPr>
      <w:rPr>
        <w:rFonts w:cs="Times New Roman" w:hint="default"/>
      </w:rPr>
    </w:lvl>
    <w:lvl w:ilvl="1">
      <w:start w:val="1"/>
      <w:numFmt w:val="decimalEnclosedCircle"/>
      <w:lvlText w:val="%2"/>
      <w:lvlJc w:val="left"/>
      <w:pPr>
        <w:ind w:left="1320" w:hanging="420"/>
      </w:pPr>
      <w:rPr>
        <w:rFonts w:cs="Times New Roman" w:hint="default"/>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66D00033"/>
    <w:multiLevelType w:val="multilevel"/>
    <w:tmpl w:val="66D00033"/>
    <w:lvl w:ilvl="0">
      <w:start w:val="1"/>
      <w:numFmt w:val="decimal"/>
      <w:lvlText w:val="第%1条"/>
      <w:lvlJc w:val="left"/>
      <w:pPr>
        <w:tabs>
          <w:tab w:val="left" w:pos="810"/>
        </w:tabs>
        <w:ind w:left="810" w:hanging="810"/>
      </w:pPr>
      <w:rPr>
        <w:rFonts w:cs="Times New Roman" w:hint="default"/>
        <w:b/>
        <w:color w:val="auto"/>
        <w:spacing w:val="76"/>
        <w:position w:val="0"/>
        <w:sz w:val="24"/>
        <w:szCs w:val="24"/>
      </w:rPr>
    </w:lvl>
    <w:lvl w:ilvl="1">
      <w:start w:val="1"/>
      <w:numFmt w:val="decimal"/>
      <w:lvlText w:val="%1-%2"/>
      <w:lvlJc w:val="left"/>
      <w:pPr>
        <w:tabs>
          <w:tab w:val="left" w:pos="958"/>
        </w:tabs>
        <w:ind w:left="958" w:firstLine="2"/>
      </w:pPr>
      <w:rPr>
        <w:rFonts w:ascii="Times New Roman" w:eastAsia="宋体" w:hAnsi="Times New Roman" w:cs="Times New Roman" w:hint="default"/>
        <w:b w:val="0"/>
        <w:i w:val="0"/>
        <w:color w:val="auto"/>
        <w:spacing w:val="0"/>
        <w:w w:val="100"/>
        <w:position w:val="0"/>
        <w:sz w:val="24"/>
        <w:szCs w:val="24"/>
      </w:rPr>
    </w:lvl>
    <w:lvl w:ilvl="2">
      <w:start w:val="1"/>
      <w:numFmt w:val="decimal"/>
      <w:lvlText w:val="%1-%2-%3"/>
      <w:lvlJc w:val="left"/>
      <w:pPr>
        <w:tabs>
          <w:tab w:val="left" w:pos="1418"/>
        </w:tabs>
        <w:ind w:left="1418"/>
      </w:pPr>
      <w:rPr>
        <w:rFonts w:cs="Times New Roman" w:hint="default"/>
      </w:rPr>
    </w:lvl>
    <w:lvl w:ilvl="3">
      <w:start w:val="1"/>
      <w:numFmt w:val="decimal"/>
      <w:lvlText w:val="%1-%2.%3.%4"/>
      <w:lvlJc w:val="left"/>
      <w:pPr>
        <w:tabs>
          <w:tab w:val="left" w:pos="3690"/>
        </w:tabs>
        <w:ind w:left="3690" w:hanging="810"/>
      </w:pPr>
      <w:rPr>
        <w:rFonts w:cs="Times New Roman" w:hint="default"/>
      </w:rPr>
    </w:lvl>
    <w:lvl w:ilvl="4">
      <w:start w:val="1"/>
      <w:numFmt w:val="decimal"/>
      <w:lvlText w:val="%1-%2.%3.%4.%5"/>
      <w:lvlJc w:val="left"/>
      <w:pPr>
        <w:tabs>
          <w:tab w:val="left" w:pos="4920"/>
        </w:tabs>
        <w:ind w:left="4920" w:hanging="1080"/>
      </w:pPr>
      <w:rPr>
        <w:rFonts w:cs="Times New Roman" w:hint="default"/>
      </w:rPr>
    </w:lvl>
    <w:lvl w:ilvl="5">
      <w:start w:val="1"/>
      <w:numFmt w:val="decimal"/>
      <w:lvlText w:val="%1-%2.%3.%4.%5.%6"/>
      <w:lvlJc w:val="left"/>
      <w:pPr>
        <w:tabs>
          <w:tab w:val="left" w:pos="5880"/>
        </w:tabs>
        <w:ind w:left="5880" w:hanging="1080"/>
      </w:pPr>
      <w:rPr>
        <w:rFonts w:cs="Times New Roman" w:hint="default"/>
      </w:rPr>
    </w:lvl>
    <w:lvl w:ilvl="6">
      <w:start w:val="1"/>
      <w:numFmt w:val="decimal"/>
      <w:lvlText w:val="%1-%2.%3.%4.%5.%6.%7"/>
      <w:lvlJc w:val="left"/>
      <w:pPr>
        <w:tabs>
          <w:tab w:val="left" w:pos="7200"/>
        </w:tabs>
        <w:ind w:left="7200" w:hanging="1440"/>
      </w:pPr>
      <w:rPr>
        <w:rFonts w:cs="Times New Roman" w:hint="default"/>
      </w:rPr>
    </w:lvl>
    <w:lvl w:ilvl="7">
      <w:start w:val="1"/>
      <w:numFmt w:val="decimal"/>
      <w:lvlText w:val="%1-%2.%3.%4.%5.%6.%7.%8"/>
      <w:lvlJc w:val="left"/>
      <w:pPr>
        <w:tabs>
          <w:tab w:val="left" w:pos="8160"/>
        </w:tabs>
        <w:ind w:left="8160" w:hanging="1440"/>
      </w:pPr>
      <w:rPr>
        <w:rFonts w:cs="Times New Roman" w:hint="default"/>
      </w:rPr>
    </w:lvl>
    <w:lvl w:ilvl="8">
      <w:start w:val="1"/>
      <w:numFmt w:val="decimal"/>
      <w:lvlText w:val="%1-%2.%3.%4.%5.%6.%7.%8.%9"/>
      <w:lvlJc w:val="left"/>
      <w:pPr>
        <w:tabs>
          <w:tab w:val="left" w:pos="9480"/>
        </w:tabs>
        <w:ind w:left="9480" w:hanging="1800"/>
      </w:pPr>
      <w:rPr>
        <w:rFonts w:cs="Times New Roman"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A5B"/>
    <w:rsid w:val="00073954"/>
    <w:rsid w:val="002733BF"/>
    <w:rsid w:val="003312C9"/>
    <w:rsid w:val="003C4508"/>
    <w:rsid w:val="003E6147"/>
    <w:rsid w:val="004178ED"/>
    <w:rsid w:val="004B421A"/>
    <w:rsid w:val="005E29CD"/>
    <w:rsid w:val="006D6CD4"/>
    <w:rsid w:val="00757E4F"/>
    <w:rsid w:val="007C0566"/>
    <w:rsid w:val="00817D3A"/>
    <w:rsid w:val="008215DB"/>
    <w:rsid w:val="008B69E0"/>
    <w:rsid w:val="0099561A"/>
    <w:rsid w:val="009F729F"/>
    <w:rsid w:val="00A70D28"/>
    <w:rsid w:val="00AA6A5B"/>
    <w:rsid w:val="00B54921"/>
    <w:rsid w:val="00CE6C69"/>
    <w:rsid w:val="00D40E79"/>
    <w:rsid w:val="00D561AE"/>
    <w:rsid w:val="00D65738"/>
    <w:rsid w:val="00E30E14"/>
    <w:rsid w:val="6F8149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BF"/>
    <w:pPr>
      <w:widowControl w:val="0"/>
      <w:jc w:val="both"/>
    </w:pPr>
  </w:style>
  <w:style w:type="paragraph" w:styleId="Heading1">
    <w:name w:val="heading 1"/>
    <w:basedOn w:val="Normal"/>
    <w:next w:val="Normal"/>
    <w:link w:val="Heading1Char"/>
    <w:uiPriority w:val="99"/>
    <w:qFormat/>
    <w:rsid w:val="002733BF"/>
    <w:pPr>
      <w:keepNext/>
      <w:keepLines/>
      <w:spacing w:before="840" w:afterLines="50" w:line="578" w:lineRule="auto"/>
      <w:jc w:val="center"/>
      <w:outlineLvl w:val="0"/>
    </w:pPr>
    <w:rPr>
      <w:rFonts w:ascii="Times New Roman" w:eastAsia="黑体" w:hAnsi="Times New Roman"/>
      <w:b/>
      <w:bCs/>
      <w:kern w:val="44"/>
      <w:sz w:val="36"/>
      <w:szCs w:val="44"/>
    </w:rPr>
  </w:style>
  <w:style w:type="paragraph" w:styleId="Heading3">
    <w:name w:val="heading 3"/>
    <w:basedOn w:val="Normal"/>
    <w:next w:val="Normal"/>
    <w:link w:val="Heading3Char"/>
    <w:uiPriority w:val="99"/>
    <w:qFormat/>
    <w:rsid w:val="002733BF"/>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3BF"/>
    <w:rPr>
      <w:rFonts w:ascii="Times New Roman" w:eastAsia="黑体" w:hAnsi="Times New Roman" w:cs="Times New Roman"/>
      <w:b/>
      <w:kern w:val="44"/>
      <w:sz w:val="44"/>
    </w:rPr>
  </w:style>
  <w:style w:type="character" w:customStyle="1" w:styleId="Heading3Char">
    <w:name w:val="Heading 3 Char"/>
    <w:basedOn w:val="DefaultParagraphFont"/>
    <w:link w:val="Heading3"/>
    <w:uiPriority w:val="99"/>
    <w:locked/>
    <w:rsid w:val="002733BF"/>
    <w:rPr>
      <w:rFonts w:cs="Times New Roman"/>
      <w:b/>
      <w:bCs/>
      <w:sz w:val="32"/>
      <w:szCs w:val="32"/>
    </w:rPr>
  </w:style>
  <w:style w:type="paragraph" w:styleId="Footer">
    <w:name w:val="footer"/>
    <w:basedOn w:val="Normal"/>
    <w:link w:val="FooterChar"/>
    <w:uiPriority w:val="99"/>
    <w:rsid w:val="002733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33BF"/>
    <w:rPr>
      <w:rFonts w:cs="Times New Roman"/>
      <w:sz w:val="18"/>
      <w:szCs w:val="18"/>
    </w:rPr>
  </w:style>
  <w:style w:type="paragraph" w:styleId="Header">
    <w:name w:val="header"/>
    <w:basedOn w:val="Normal"/>
    <w:link w:val="HeaderChar"/>
    <w:uiPriority w:val="99"/>
    <w:rsid w:val="002733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733BF"/>
    <w:rPr>
      <w:rFonts w:cs="Times New Roman"/>
      <w:sz w:val="18"/>
      <w:szCs w:val="18"/>
    </w:rPr>
  </w:style>
  <w:style w:type="character" w:customStyle="1" w:styleId="1Char">
    <w:name w:val="标题 1 Char"/>
    <w:basedOn w:val="DefaultParagraphFont"/>
    <w:uiPriority w:val="99"/>
    <w:rsid w:val="002733BF"/>
    <w:rPr>
      <w:rFonts w:cs="Times New Roman"/>
      <w:b/>
      <w:bCs/>
      <w:kern w:val="44"/>
      <w:sz w:val="44"/>
      <w:szCs w:val="44"/>
    </w:rPr>
  </w:style>
  <w:style w:type="paragraph" w:styleId="ListParagraph">
    <w:name w:val="List Paragraph"/>
    <w:basedOn w:val="Normal"/>
    <w:uiPriority w:val="99"/>
    <w:qFormat/>
    <w:rsid w:val="002733BF"/>
    <w:pPr>
      <w:ind w:firstLineChars="200" w:firstLine="420"/>
    </w:pPr>
  </w:style>
  <w:style w:type="paragraph" w:customStyle="1" w:styleId="a">
    <w:name w:val="正文段落"/>
    <w:basedOn w:val="Normal"/>
    <w:uiPriority w:val="99"/>
    <w:rsid w:val="002733BF"/>
    <w:pPr>
      <w:adjustRightInd w:val="0"/>
      <w:snapToGrid w:val="0"/>
      <w:spacing w:line="360" w:lineRule="auto"/>
      <w:ind w:firstLineChars="200" w:firstLine="200"/>
      <w:jc w:val="left"/>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328</Words>
  <Characters>1876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微软用户</cp:lastModifiedBy>
  <cp:revision>5</cp:revision>
  <dcterms:created xsi:type="dcterms:W3CDTF">2018-09-29T09:40:00Z</dcterms:created>
  <dcterms:modified xsi:type="dcterms:W3CDTF">2018-10-22T08:02:00Z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